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2E2E3" w14:textId="6B157E65" w:rsidR="00C35010" w:rsidRPr="00B33992" w:rsidRDefault="00C35010">
      <w:pPr>
        <w:rPr>
          <w:rFonts w:cstheme="minorHAnsi"/>
        </w:rPr>
      </w:pPr>
    </w:p>
    <w:p w14:paraId="68C2B812" w14:textId="60124C33" w:rsidR="00C35010" w:rsidRPr="00B33992" w:rsidRDefault="00C35010">
      <w:pPr>
        <w:rPr>
          <w:rFonts w:cstheme="minorHAnsi"/>
        </w:rPr>
      </w:pPr>
      <w:r w:rsidRPr="00B33992">
        <w:rPr>
          <w:rFonts w:cstheme="minorHAnsi"/>
          <w:noProof/>
          <w:lang w:val="en-US"/>
        </w:rPr>
        <w:drawing>
          <wp:inline distT="0" distB="0" distL="0" distR="0" wp14:anchorId="371E4E63" wp14:editId="35B7A647">
            <wp:extent cx="2654771" cy="1873956"/>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2025-01-18 at 15.28.50.png"/>
                    <pic:cNvPicPr/>
                  </pic:nvPicPr>
                  <pic:blipFill>
                    <a:blip r:embed="rId12">
                      <a:extLst>
                        <a:ext uri="{28A0092B-C50C-407E-A947-70E740481C1C}">
                          <a14:useLocalDpi xmlns:a14="http://schemas.microsoft.com/office/drawing/2010/main" val="0"/>
                        </a:ext>
                      </a:extLst>
                    </a:blip>
                    <a:stretch>
                      <a:fillRect/>
                    </a:stretch>
                  </pic:blipFill>
                  <pic:spPr>
                    <a:xfrm>
                      <a:off x="0" y="0"/>
                      <a:ext cx="2685115" cy="1895376"/>
                    </a:xfrm>
                    <a:prstGeom prst="rect">
                      <a:avLst/>
                    </a:prstGeom>
                  </pic:spPr>
                </pic:pic>
              </a:graphicData>
            </a:graphic>
          </wp:inline>
        </w:drawing>
      </w:r>
    </w:p>
    <w:p w14:paraId="0AF2DB84" w14:textId="158F5708" w:rsidR="00C35010" w:rsidRPr="00B33992" w:rsidRDefault="00C35010">
      <w:pPr>
        <w:rPr>
          <w:rFonts w:cstheme="minorHAnsi"/>
        </w:rPr>
      </w:pPr>
    </w:p>
    <w:p w14:paraId="2AFC51E9" w14:textId="21097733" w:rsidR="00C35010" w:rsidRPr="00B33992" w:rsidRDefault="00C35010">
      <w:pPr>
        <w:rPr>
          <w:rFonts w:cstheme="minorHAnsi"/>
        </w:rPr>
      </w:pPr>
    </w:p>
    <w:p w14:paraId="093536D4" w14:textId="4D9F71B8" w:rsidR="00C35010" w:rsidRPr="00B33992" w:rsidRDefault="00C35010">
      <w:pPr>
        <w:rPr>
          <w:rFonts w:cstheme="minorHAnsi"/>
        </w:rPr>
      </w:pPr>
    </w:p>
    <w:p w14:paraId="42F098F7" w14:textId="5EDA07DC" w:rsidR="00C35010" w:rsidRPr="00B33992" w:rsidRDefault="00C35010">
      <w:pPr>
        <w:rPr>
          <w:rFonts w:cstheme="minorHAnsi"/>
        </w:rPr>
      </w:pPr>
    </w:p>
    <w:p w14:paraId="7C525B02" w14:textId="7E7A479F" w:rsidR="00C35010" w:rsidRPr="00B33992" w:rsidRDefault="00C35010">
      <w:pPr>
        <w:rPr>
          <w:rFonts w:cstheme="minorHAnsi"/>
        </w:rPr>
      </w:pPr>
    </w:p>
    <w:p w14:paraId="341A8E2E" w14:textId="5045E51C" w:rsidR="00C35010" w:rsidRPr="00B33992" w:rsidRDefault="004069DC">
      <w:pPr>
        <w:rPr>
          <w:rFonts w:cstheme="minorHAnsi"/>
          <w:sz w:val="36"/>
          <w:szCs w:val="36"/>
        </w:rPr>
      </w:pPr>
      <w:r w:rsidRPr="00B33992">
        <w:rPr>
          <w:rFonts w:cstheme="minorHAnsi"/>
          <w:color w:val="385623" w:themeColor="accent6" w:themeShade="80"/>
          <w:sz w:val="36"/>
          <w:szCs w:val="36"/>
        </w:rPr>
        <w:t xml:space="preserve">Response to Ofgem </w:t>
      </w:r>
      <w:r w:rsidR="008D1089" w:rsidRPr="008D1089">
        <w:rPr>
          <w:rFonts w:cstheme="minorHAnsi"/>
          <w:color w:val="385623" w:themeColor="accent6" w:themeShade="80"/>
          <w:sz w:val="36"/>
          <w:szCs w:val="36"/>
        </w:rPr>
        <w:t>RIIO-3 Draft Determinations</w:t>
      </w:r>
      <w:r w:rsidR="00404C0A">
        <w:rPr>
          <w:rFonts w:cstheme="minorHAnsi"/>
          <w:color w:val="385623" w:themeColor="accent6" w:themeShade="80"/>
          <w:sz w:val="36"/>
          <w:szCs w:val="36"/>
        </w:rPr>
        <w:t xml:space="preserve"> Consultation </w:t>
      </w:r>
    </w:p>
    <w:p w14:paraId="4D99DFE6" w14:textId="232F6721" w:rsidR="004069DC" w:rsidRPr="00B33992" w:rsidRDefault="004069DC">
      <w:pPr>
        <w:rPr>
          <w:rFonts w:cstheme="minorHAnsi"/>
          <w:sz w:val="36"/>
          <w:szCs w:val="36"/>
        </w:rPr>
      </w:pPr>
    </w:p>
    <w:p w14:paraId="33E91F66" w14:textId="775B137E" w:rsidR="00C35010" w:rsidRPr="00B33992" w:rsidRDefault="00C35010">
      <w:pPr>
        <w:rPr>
          <w:rFonts w:cstheme="minorHAnsi"/>
        </w:rPr>
      </w:pPr>
    </w:p>
    <w:p w14:paraId="7F4A1CAC" w14:textId="77777777" w:rsidR="00C35010" w:rsidRPr="00B33992" w:rsidRDefault="00C35010">
      <w:pPr>
        <w:rPr>
          <w:rFonts w:cstheme="minorHAnsi"/>
        </w:rPr>
      </w:pPr>
    </w:p>
    <w:p w14:paraId="25058F0D" w14:textId="77777777" w:rsidR="00C35010" w:rsidRPr="00B33992" w:rsidRDefault="00C35010">
      <w:pPr>
        <w:rPr>
          <w:rFonts w:cstheme="minorHAnsi"/>
        </w:rPr>
      </w:pPr>
    </w:p>
    <w:p w14:paraId="12CB2510" w14:textId="412FA632" w:rsidR="00C35010" w:rsidRDefault="00C35010">
      <w:pPr>
        <w:rPr>
          <w:rFonts w:cstheme="minorHAnsi"/>
        </w:rPr>
      </w:pPr>
    </w:p>
    <w:p w14:paraId="39588955" w14:textId="77777777" w:rsidR="0074019E" w:rsidRDefault="0074019E">
      <w:pPr>
        <w:rPr>
          <w:rFonts w:cstheme="minorHAnsi"/>
        </w:rPr>
      </w:pPr>
    </w:p>
    <w:p w14:paraId="582D0CDD" w14:textId="77777777" w:rsidR="0074019E" w:rsidRDefault="0074019E">
      <w:pPr>
        <w:rPr>
          <w:rFonts w:cstheme="minorHAnsi"/>
        </w:rPr>
      </w:pPr>
    </w:p>
    <w:p w14:paraId="3F0E5E74" w14:textId="77777777" w:rsidR="0074019E" w:rsidRDefault="0074019E">
      <w:pPr>
        <w:rPr>
          <w:rFonts w:cstheme="minorHAnsi"/>
        </w:rPr>
      </w:pPr>
    </w:p>
    <w:p w14:paraId="2F75C4B0" w14:textId="77777777" w:rsidR="0074019E" w:rsidRDefault="0074019E">
      <w:pPr>
        <w:rPr>
          <w:rFonts w:cstheme="minorHAnsi"/>
        </w:rPr>
      </w:pPr>
    </w:p>
    <w:p w14:paraId="39D21692" w14:textId="77777777" w:rsidR="0074019E" w:rsidRDefault="0074019E">
      <w:pPr>
        <w:rPr>
          <w:rFonts w:cstheme="minorHAnsi"/>
        </w:rPr>
      </w:pPr>
    </w:p>
    <w:p w14:paraId="0A14D058" w14:textId="77777777" w:rsidR="0074019E" w:rsidRDefault="0074019E">
      <w:pPr>
        <w:rPr>
          <w:rFonts w:cstheme="minorHAnsi"/>
        </w:rPr>
      </w:pPr>
    </w:p>
    <w:p w14:paraId="4204FAC3" w14:textId="77777777" w:rsidR="0074019E" w:rsidRDefault="0074019E">
      <w:pPr>
        <w:rPr>
          <w:rFonts w:cstheme="minorHAnsi"/>
        </w:rPr>
      </w:pPr>
    </w:p>
    <w:p w14:paraId="3DCCD8F5" w14:textId="77777777" w:rsidR="0074019E" w:rsidRDefault="0074019E">
      <w:pPr>
        <w:rPr>
          <w:rFonts w:cstheme="minorHAnsi"/>
        </w:rPr>
      </w:pPr>
    </w:p>
    <w:p w14:paraId="3EB9F0B7" w14:textId="77777777" w:rsidR="0074019E" w:rsidRDefault="0074019E">
      <w:pPr>
        <w:rPr>
          <w:rFonts w:cstheme="minorHAnsi"/>
        </w:rPr>
      </w:pPr>
    </w:p>
    <w:p w14:paraId="05D6A14C" w14:textId="77777777" w:rsidR="0074019E" w:rsidRDefault="0074019E">
      <w:pPr>
        <w:rPr>
          <w:rFonts w:cstheme="minorHAnsi"/>
        </w:rPr>
      </w:pPr>
    </w:p>
    <w:p w14:paraId="300EDC7E" w14:textId="77777777" w:rsidR="0074019E" w:rsidRDefault="0074019E">
      <w:pPr>
        <w:rPr>
          <w:rFonts w:cstheme="minorHAnsi"/>
        </w:rPr>
      </w:pPr>
    </w:p>
    <w:p w14:paraId="01BDD825" w14:textId="77777777" w:rsidR="0074019E" w:rsidRDefault="0074019E">
      <w:pPr>
        <w:rPr>
          <w:rFonts w:cstheme="minorHAnsi"/>
        </w:rPr>
      </w:pPr>
    </w:p>
    <w:p w14:paraId="5451A9A2" w14:textId="77777777" w:rsidR="0074019E" w:rsidRDefault="0074019E">
      <w:pPr>
        <w:rPr>
          <w:rFonts w:cstheme="minorHAnsi"/>
        </w:rPr>
      </w:pPr>
    </w:p>
    <w:p w14:paraId="0DC57A4E" w14:textId="77777777" w:rsidR="0074019E" w:rsidRDefault="0074019E">
      <w:pPr>
        <w:rPr>
          <w:rFonts w:cstheme="minorHAnsi"/>
        </w:rPr>
      </w:pPr>
    </w:p>
    <w:p w14:paraId="350C24E3" w14:textId="77777777" w:rsidR="0074019E" w:rsidRDefault="0074019E">
      <w:pPr>
        <w:rPr>
          <w:rFonts w:cstheme="minorHAnsi"/>
        </w:rPr>
      </w:pPr>
    </w:p>
    <w:p w14:paraId="68D37025" w14:textId="77777777" w:rsidR="0074019E" w:rsidRDefault="0074019E">
      <w:pPr>
        <w:rPr>
          <w:rFonts w:cstheme="minorHAnsi"/>
        </w:rPr>
      </w:pPr>
    </w:p>
    <w:p w14:paraId="25E9E0A3" w14:textId="77777777" w:rsidR="0074019E" w:rsidRPr="00B33992" w:rsidRDefault="0074019E">
      <w:pPr>
        <w:rPr>
          <w:rFonts w:cstheme="minorHAnsi"/>
        </w:rPr>
      </w:pPr>
    </w:p>
    <w:p w14:paraId="7A12506E" w14:textId="450F0CEC" w:rsidR="00F231F7" w:rsidRPr="00B33992" w:rsidRDefault="00C35010">
      <w:pPr>
        <w:rPr>
          <w:rFonts w:cstheme="minorHAnsi"/>
        </w:rPr>
      </w:pPr>
      <w:r w:rsidRPr="00B33992">
        <w:rPr>
          <w:rFonts w:cstheme="minorHAnsi"/>
          <w:noProof/>
          <w:lang w:val="en-US"/>
        </w:rPr>
        <mc:AlternateContent>
          <mc:Choice Requires="wps">
            <w:drawing>
              <wp:anchor distT="0" distB="0" distL="114300" distR="114300" simplePos="0" relativeHeight="251658240" behindDoc="0" locked="0" layoutInCell="1" allowOverlap="1" wp14:anchorId="732E2F8F" wp14:editId="2B673253">
                <wp:simplePos x="0" y="0"/>
                <wp:positionH relativeFrom="column">
                  <wp:posOffset>0</wp:posOffset>
                </wp:positionH>
                <wp:positionV relativeFrom="paragraph">
                  <wp:posOffset>0</wp:posOffset>
                </wp:positionV>
                <wp:extent cx="5734050" cy="95059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34050" cy="950595"/>
                        </a:xfrm>
                        <a:prstGeom prst="rect">
                          <a:avLst/>
                        </a:prstGeom>
                        <a:noFill/>
                        <a:ln w="6350">
                          <a:solidFill>
                            <a:prstClr val="black"/>
                          </a:solidFill>
                        </a:ln>
                      </wps:spPr>
                      <wps:txbx>
                        <w:txbxContent>
                          <w:p w14:paraId="17FCDECF" w14:textId="6589DF43" w:rsidR="00F71F6D" w:rsidRPr="00C35010" w:rsidRDefault="00F71F6D" w:rsidP="00C35010">
                            <w:pPr>
                              <w:rPr>
                                <w:sz w:val="22"/>
                                <w:szCs w:val="22"/>
                              </w:rPr>
                            </w:pPr>
                            <w:r w:rsidRPr="00C35010">
                              <w:rPr>
                                <w:sz w:val="22"/>
                                <w:szCs w:val="22"/>
                              </w:rPr>
                              <w:t xml:space="preserve">This response to Ofgem’s </w:t>
                            </w:r>
                            <w:r w:rsidRPr="006E6DB9">
                              <w:rPr>
                                <w:sz w:val="22"/>
                                <w:szCs w:val="22"/>
                              </w:rPr>
                              <w:t xml:space="preserve">RIIO-3 Draft Determinations Consultation </w:t>
                            </w:r>
                            <w:r w:rsidRPr="00C35010">
                              <w:rPr>
                                <w:sz w:val="22"/>
                                <w:szCs w:val="22"/>
                              </w:rPr>
                              <w:t xml:space="preserve">is provided by </w:t>
                            </w:r>
                            <w:r w:rsidRPr="003259CB">
                              <w:rPr>
                                <w:sz w:val="22"/>
                                <w:szCs w:val="22"/>
                              </w:rPr>
                              <w:t>SP Energy Networks</w:t>
                            </w:r>
                            <w:r>
                              <w:rPr>
                                <w:sz w:val="22"/>
                                <w:szCs w:val="22"/>
                              </w:rPr>
                              <w:t>’</w:t>
                            </w:r>
                            <w:r w:rsidRPr="003259CB">
                              <w:rPr>
                                <w:sz w:val="22"/>
                                <w:szCs w:val="22"/>
                              </w:rPr>
                              <w:t xml:space="preserve"> </w:t>
                            </w:r>
                            <w:r>
                              <w:rPr>
                                <w:sz w:val="22"/>
                                <w:szCs w:val="22"/>
                              </w:rPr>
                              <w:t>(</w:t>
                            </w:r>
                            <w:r w:rsidRPr="00C35010">
                              <w:rPr>
                                <w:sz w:val="22"/>
                                <w:szCs w:val="22"/>
                              </w:rPr>
                              <w:t>SPEN</w:t>
                            </w:r>
                            <w:r>
                              <w:rPr>
                                <w:sz w:val="22"/>
                                <w:szCs w:val="22"/>
                              </w:rPr>
                              <w:t>)</w:t>
                            </w:r>
                            <w:r w:rsidRPr="00C35010">
                              <w:rPr>
                                <w:sz w:val="22"/>
                                <w:szCs w:val="22"/>
                              </w:rPr>
                              <w:t xml:space="preserve"> Independent Net Zero Advisory Council (INZAC).</w:t>
                            </w:r>
                          </w:p>
                          <w:p w14:paraId="5AFC59F4" w14:textId="77777777" w:rsidR="00F71F6D" w:rsidRPr="00C35010" w:rsidRDefault="00F71F6D" w:rsidP="00C35010">
                            <w:pPr>
                              <w:rPr>
                                <w:sz w:val="22"/>
                                <w:szCs w:val="22"/>
                              </w:rPr>
                            </w:pPr>
                          </w:p>
                          <w:p w14:paraId="47CC16A5" w14:textId="0AAD8F49" w:rsidR="00F71F6D" w:rsidRPr="0047629D" w:rsidRDefault="00F71F6D" w:rsidP="0047629D">
                            <w:pPr>
                              <w:rPr>
                                <w:sz w:val="22"/>
                                <w:szCs w:val="22"/>
                              </w:rPr>
                            </w:pPr>
                            <w:r w:rsidRPr="00C35010">
                              <w:rPr>
                                <w:sz w:val="22"/>
                                <w:szCs w:val="22"/>
                              </w:rPr>
                              <w:t xml:space="preserve">The INZAC acts as the Independent Stakeholder Group </w:t>
                            </w:r>
                            <w:r>
                              <w:rPr>
                                <w:sz w:val="22"/>
                                <w:szCs w:val="22"/>
                              </w:rPr>
                              <w:t xml:space="preserve">(ISG) </w:t>
                            </w:r>
                            <w:r w:rsidRPr="00C35010">
                              <w:rPr>
                                <w:sz w:val="22"/>
                                <w:szCs w:val="22"/>
                              </w:rPr>
                              <w:t>for SPEN, as mandated by Ofgem in its Business Plan Guidance published on 30 September 2024.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0;width:451.5pt;height:74.85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" filled="f" strokeweight=".5pt">
                <v:textbox style="mso-fit-shape-to-text:t">
                  <w:txbxContent>
                    <w:p w14:paraId="17FCDECF" w14:textId="6589DF43" w:rsidR="00F71F6D" w:rsidRPr="00C35010" w:rsidRDefault="00F71F6D" w:rsidP="00C35010">
                      <w:pPr>
                        <w:rPr>
                          <w:sz w:val="22"/>
                          <w:szCs w:val="22"/>
                        </w:rPr>
                      </w:pPr>
                      <w:r w:rsidRPr="00C35010">
                        <w:rPr>
                          <w:sz w:val="22"/>
                          <w:szCs w:val="22"/>
                        </w:rPr>
                        <w:t xml:space="preserve">This response to Ofgem’s </w:t>
                      </w:r>
                      <w:r w:rsidRPr="006E6DB9">
                        <w:rPr>
                          <w:sz w:val="22"/>
                          <w:szCs w:val="22"/>
                        </w:rPr>
                        <w:t xml:space="preserve">RIIO-3 Draft Determinations Consultation </w:t>
                      </w:r>
                      <w:r w:rsidRPr="00C35010">
                        <w:rPr>
                          <w:sz w:val="22"/>
                          <w:szCs w:val="22"/>
                        </w:rPr>
                        <w:t xml:space="preserve">is provided by </w:t>
                      </w:r>
                      <w:r w:rsidRPr="003259CB">
                        <w:rPr>
                          <w:sz w:val="22"/>
                          <w:szCs w:val="22"/>
                        </w:rPr>
                        <w:t>SP Energy Networks</w:t>
                      </w:r>
                      <w:r>
                        <w:rPr>
                          <w:sz w:val="22"/>
                          <w:szCs w:val="22"/>
                        </w:rPr>
                        <w:t>’</w:t>
                      </w:r>
                      <w:r w:rsidRPr="003259CB">
                        <w:rPr>
                          <w:sz w:val="22"/>
                          <w:szCs w:val="22"/>
                        </w:rPr>
                        <w:t xml:space="preserve"> </w:t>
                      </w:r>
                      <w:r>
                        <w:rPr>
                          <w:sz w:val="22"/>
                          <w:szCs w:val="22"/>
                        </w:rPr>
                        <w:t>(</w:t>
                      </w:r>
                      <w:r w:rsidRPr="00C35010">
                        <w:rPr>
                          <w:sz w:val="22"/>
                          <w:szCs w:val="22"/>
                        </w:rPr>
                        <w:t>SPEN</w:t>
                      </w:r>
                      <w:r>
                        <w:rPr>
                          <w:sz w:val="22"/>
                          <w:szCs w:val="22"/>
                        </w:rPr>
                        <w:t>)</w:t>
                      </w:r>
                      <w:r w:rsidRPr="00C35010">
                        <w:rPr>
                          <w:sz w:val="22"/>
                          <w:szCs w:val="22"/>
                        </w:rPr>
                        <w:t xml:space="preserve"> Independent Net Zero Advisory Council (INZAC).</w:t>
                      </w:r>
                    </w:p>
                    <w:p w14:paraId="5AFC59F4" w14:textId="77777777" w:rsidR="00F71F6D" w:rsidRPr="00C35010" w:rsidRDefault="00F71F6D" w:rsidP="00C35010">
                      <w:pPr>
                        <w:rPr>
                          <w:sz w:val="22"/>
                          <w:szCs w:val="22"/>
                        </w:rPr>
                      </w:pPr>
                    </w:p>
                    <w:p w14:paraId="47CC16A5" w14:textId="0AAD8F49" w:rsidR="00F71F6D" w:rsidRPr="0047629D" w:rsidRDefault="00F71F6D" w:rsidP="0047629D">
                      <w:pPr>
                        <w:rPr>
                          <w:sz w:val="22"/>
                          <w:szCs w:val="22"/>
                        </w:rPr>
                      </w:pPr>
                      <w:r w:rsidRPr="00C35010">
                        <w:rPr>
                          <w:sz w:val="22"/>
                          <w:szCs w:val="22"/>
                        </w:rPr>
                        <w:t xml:space="preserve">The INZAC acts as the Independent Stakeholder Group </w:t>
                      </w:r>
                      <w:r>
                        <w:rPr>
                          <w:sz w:val="22"/>
                          <w:szCs w:val="22"/>
                        </w:rPr>
                        <w:t xml:space="preserve">(ISG) </w:t>
                      </w:r>
                      <w:r w:rsidRPr="00C35010">
                        <w:rPr>
                          <w:sz w:val="22"/>
                          <w:szCs w:val="22"/>
                        </w:rPr>
                        <w:t>for SPEN, as mandated by Ofgem in its Business Plan Guidance published on 30 September 2024.</w:t>
                      </w:r>
                    </w:p>
                  </w:txbxContent>
                </v:textbox>
                <w10:wrap type="square"/>
              </v:shape>
            </w:pict>
          </mc:Fallback>
        </mc:AlternateContent>
      </w:r>
      <w:r w:rsidR="00F231F7" w:rsidRPr="00B33992">
        <w:rPr>
          <w:rFonts w:cstheme="minorHAnsi"/>
        </w:rPr>
        <w:br w:type="page"/>
      </w:r>
    </w:p>
    <w:p w14:paraId="12101421" w14:textId="77777777" w:rsidR="007E4901" w:rsidRPr="00B33992" w:rsidRDefault="007E4901">
      <w:pPr>
        <w:rPr>
          <w:rFonts w:cstheme="minorHAnsi"/>
        </w:rPr>
      </w:pPr>
    </w:p>
    <w:p w14:paraId="27EDB640" w14:textId="5D396032" w:rsidR="00277D82" w:rsidRPr="000A1C5B" w:rsidRDefault="00277D82" w:rsidP="005D44DB">
      <w:pPr>
        <w:rPr>
          <w:rFonts w:cstheme="minorHAnsi"/>
          <w:b/>
          <w:bCs/>
        </w:rPr>
      </w:pPr>
      <w:r w:rsidRPr="000A1C5B">
        <w:rPr>
          <w:rFonts w:cstheme="minorHAnsi"/>
          <w:b/>
          <w:bCs/>
          <w:color w:val="385623" w:themeColor="accent6" w:themeShade="80"/>
          <w:sz w:val="28"/>
          <w:szCs w:val="28"/>
        </w:rPr>
        <w:t>Contents</w:t>
      </w:r>
    </w:p>
    <w:p w14:paraId="2158BA4D" w14:textId="63EFE9F9" w:rsidR="00C35010" w:rsidRPr="00B33992" w:rsidRDefault="00C35010">
      <w:pPr>
        <w:rPr>
          <w:rFonts w:cstheme="minorHAnsi"/>
        </w:rPr>
      </w:pPr>
    </w:p>
    <w:sdt>
      <w:sdtPr>
        <w:rPr>
          <w:rFonts w:eastAsiaTheme="minorHAnsi" w:cstheme="minorBidi"/>
          <w:noProof w:val="0"/>
          <w:color w:val="auto"/>
          <w:sz w:val="24"/>
          <w:szCs w:val="24"/>
          <w:lang w:val="en-GB"/>
        </w:rPr>
        <w:id w:val="68708666"/>
        <w:docPartObj>
          <w:docPartGallery w:val="Table of Contents"/>
          <w:docPartUnique/>
        </w:docPartObj>
      </w:sdtPr>
      <w:sdtEndPr>
        <w:rPr>
          <w:b/>
        </w:rPr>
      </w:sdtEndPr>
      <w:sdtContent>
        <w:p w14:paraId="5A239010" w14:textId="20B1087A" w:rsidR="00DF48E1" w:rsidRDefault="00A35506">
          <w:pPr>
            <w:pStyle w:val="TOC1"/>
            <w:rPr>
              <w:rFonts w:cstheme="minorBidi"/>
              <w:color w:val="auto"/>
              <w:kern w:val="2"/>
              <w:sz w:val="24"/>
              <w:szCs w:val="24"/>
              <w:lang w:val="en-GB" w:eastAsia="en-GB"/>
              <w14:ligatures w14:val="standardContextual"/>
            </w:rPr>
          </w:pPr>
          <w:r w:rsidRPr="00B33992">
            <w:rPr>
              <w:rFonts w:cstheme="minorHAnsi"/>
              <w:noProof w:val="0"/>
              <w:lang w:val="en-GB"/>
            </w:rPr>
            <w:fldChar w:fldCharType="begin"/>
          </w:r>
          <w:r w:rsidRPr="00B33992">
            <w:rPr>
              <w:rFonts w:cstheme="minorHAnsi"/>
              <w:noProof w:val="0"/>
              <w:lang w:val="en-GB"/>
            </w:rPr>
            <w:instrText xml:space="preserve"> TOC \o "1-3" \h \z \u </w:instrText>
          </w:r>
          <w:r w:rsidRPr="00B33992">
            <w:rPr>
              <w:rFonts w:cstheme="minorHAnsi"/>
              <w:noProof w:val="0"/>
              <w:lang w:val="en-GB"/>
            </w:rPr>
            <w:fldChar w:fldCharType="separate"/>
          </w:r>
          <w:hyperlink w:anchor="_Toc206691362" w:history="1">
            <w:r w:rsidR="00DF48E1" w:rsidRPr="00D80362">
              <w:rPr>
                <w:rStyle w:val="Hyperlink"/>
                <w:rFonts w:cstheme="minorHAnsi"/>
              </w:rPr>
              <w:t>INZAC CONSULTATION RESPONSES</w:t>
            </w:r>
            <w:r w:rsidR="00DF48E1">
              <w:rPr>
                <w:webHidden/>
              </w:rPr>
              <w:tab/>
            </w:r>
            <w:r w:rsidR="00DF48E1">
              <w:rPr>
                <w:webHidden/>
              </w:rPr>
              <w:fldChar w:fldCharType="begin"/>
            </w:r>
            <w:r w:rsidR="00DF48E1">
              <w:rPr>
                <w:webHidden/>
              </w:rPr>
              <w:instrText xml:space="preserve"> PAGEREF _Toc206691362 \h </w:instrText>
            </w:r>
            <w:r w:rsidR="00DF48E1">
              <w:rPr>
                <w:webHidden/>
              </w:rPr>
            </w:r>
            <w:r w:rsidR="00DF48E1">
              <w:rPr>
                <w:webHidden/>
              </w:rPr>
              <w:fldChar w:fldCharType="separate"/>
            </w:r>
            <w:r w:rsidR="00A97E70">
              <w:rPr>
                <w:webHidden/>
              </w:rPr>
              <w:t>3</w:t>
            </w:r>
            <w:r w:rsidR="00DF48E1">
              <w:rPr>
                <w:webHidden/>
              </w:rPr>
              <w:fldChar w:fldCharType="end"/>
            </w:r>
          </w:hyperlink>
        </w:p>
        <w:p w14:paraId="215AA0D0" w14:textId="67D1B589" w:rsidR="00DF48E1" w:rsidRDefault="00E25029">
          <w:pPr>
            <w:pStyle w:val="TOC1"/>
            <w:rPr>
              <w:rFonts w:cstheme="minorBidi"/>
              <w:color w:val="auto"/>
              <w:kern w:val="2"/>
              <w:sz w:val="24"/>
              <w:szCs w:val="24"/>
              <w:lang w:val="en-GB" w:eastAsia="en-GB"/>
              <w14:ligatures w14:val="standardContextual"/>
            </w:rPr>
          </w:pPr>
          <w:hyperlink w:anchor="_Toc206691363" w:history="1">
            <w:r w:rsidR="00DF48E1" w:rsidRPr="00D80362">
              <w:rPr>
                <w:rStyle w:val="Hyperlink"/>
              </w:rPr>
              <w:t>1</w:t>
            </w:r>
            <w:r w:rsidR="00DF48E1">
              <w:rPr>
                <w:rFonts w:cstheme="minorBidi"/>
                <w:color w:val="auto"/>
                <w:kern w:val="2"/>
                <w:sz w:val="24"/>
                <w:szCs w:val="24"/>
                <w:lang w:val="en-GB" w:eastAsia="en-GB"/>
                <w14:ligatures w14:val="standardContextual"/>
              </w:rPr>
              <w:tab/>
            </w:r>
            <w:r w:rsidR="00DF48E1" w:rsidRPr="00D80362">
              <w:rPr>
                <w:rStyle w:val="Hyperlink"/>
              </w:rPr>
              <w:t>Independent Stakeholder Groups</w:t>
            </w:r>
            <w:r w:rsidR="00DF48E1">
              <w:rPr>
                <w:webHidden/>
              </w:rPr>
              <w:tab/>
            </w:r>
            <w:r w:rsidR="00DF48E1">
              <w:rPr>
                <w:webHidden/>
              </w:rPr>
              <w:fldChar w:fldCharType="begin"/>
            </w:r>
            <w:r w:rsidR="00DF48E1">
              <w:rPr>
                <w:webHidden/>
              </w:rPr>
              <w:instrText xml:space="preserve"> PAGEREF _Toc206691363 \h </w:instrText>
            </w:r>
            <w:r w:rsidR="00DF48E1">
              <w:rPr>
                <w:webHidden/>
              </w:rPr>
            </w:r>
            <w:r w:rsidR="00DF48E1">
              <w:rPr>
                <w:webHidden/>
              </w:rPr>
              <w:fldChar w:fldCharType="separate"/>
            </w:r>
            <w:r w:rsidR="00A97E70">
              <w:rPr>
                <w:webHidden/>
              </w:rPr>
              <w:t>3</w:t>
            </w:r>
            <w:r w:rsidR="00DF48E1">
              <w:rPr>
                <w:webHidden/>
              </w:rPr>
              <w:fldChar w:fldCharType="end"/>
            </w:r>
          </w:hyperlink>
        </w:p>
        <w:p w14:paraId="2CD80DBA" w14:textId="4C3D48FB" w:rsidR="00DF48E1" w:rsidRDefault="00E25029">
          <w:pPr>
            <w:pStyle w:val="TOC1"/>
            <w:rPr>
              <w:rFonts w:cstheme="minorBidi"/>
              <w:color w:val="auto"/>
              <w:kern w:val="2"/>
              <w:sz w:val="24"/>
              <w:szCs w:val="24"/>
              <w:lang w:val="en-GB" w:eastAsia="en-GB"/>
              <w14:ligatures w14:val="standardContextual"/>
            </w:rPr>
          </w:pPr>
          <w:hyperlink w:anchor="_Toc206691364" w:history="1">
            <w:r w:rsidR="00DF48E1" w:rsidRPr="00D80362">
              <w:rPr>
                <w:rStyle w:val="Hyperlink"/>
              </w:rPr>
              <w:t>2</w:t>
            </w:r>
            <w:r w:rsidR="00DF48E1">
              <w:rPr>
                <w:rFonts w:cstheme="minorBidi"/>
                <w:color w:val="auto"/>
                <w:kern w:val="2"/>
                <w:sz w:val="24"/>
                <w:szCs w:val="24"/>
                <w:lang w:val="en-GB" w:eastAsia="en-GB"/>
                <w14:ligatures w14:val="standardContextual"/>
              </w:rPr>
              <w:tab/>
            </w:r>
            <w:r w:rsidR="00DF48E1" w:rsidRPr="00D80362">
              <w:rPr>
                <w:rStyle w:val="Hyperlink"/>
              </w:rPr>
              <w:t>Community Benefit Funding / Net Zero Fund</w:t>
            </w:r>
            <w:r w:rsidR="00DF48E1">
              <w:rPr>
                <w:webHidden/>
              </w:rPr>
              <w:tab/>
            </w:r>
            <w:r w:rsidR="00DF48E1">
              <w:rPr>
                <w:webHidden/>
              </w:rPr>
              <w:fldChar w:fldCharType="begin"/>
            </w:r>
            <w:r w:rsidR="00DF48E1">
              <w:rPr>
                <w:webHidden/>
              </w:rPr>
              <w:instrText xml:space="preserve"> PAGEREF _Toc206691364 \h </w:instrText>
            </w:r>
            <w:r w:rsidR="00DF48E1">
              <w:rPr>
                <w:webHidden/>
              </w:rPr>
            </w:r>
            <w:r w:rsidR="00DF48E1">
              <w:rPr>
                <w:webHidden/>
              </w:rPr>
              <w:fldChar w:fldCharType="separate"/>
            </w:r>
            <w:r w:rsidR="00A97E70">
              <w:rPr>
                <w:webHidden/>
              </w:rPr>
              <w:t>5</w:t>
            </w:r>
            <w:r w:rsidR="00DF48E1">
              <w:rPr>
                <w:webHidden/>
              </w:rPr>
              <w:fldChar w:fldCharType="end"/>
            </w:r>
          </w:hyperlink>
        </w:p>
        <w:p w14:paraId="77935AF4" w14:textId="4D71EDEB" w:rsidR="00DF48E1" w:rsidRDefault="00E25029">
          <w:pPr>
            <w:pStyle w:val="TOC1"/>
            <w:rPr>
              <w:rFonts w:cstheme="minorBidi"/>
              <w:color w:val="auto"/>
              <w:kern w:val="2"/>
              <w:sz w:val="24"/>
              <w:szCs w:val="24"/>
              <w:lang w:val="en-GB" w:eastAsia="en-GB"/>
              <w14:ligatures w14:val="standardContextual"/>
            </w:rPr>
          </w:pPr>
          <w:hyperlink w:anchor="_Toc206691365" w:history="1">
            <w:r w:rsidR="00DF48E1" w:rsidRPr="00D80362">
              <w:rPr>
                <w:rStyle w:val="Hyperlink"/>
              </w:rPr>
              <w:t>3</w:t>
            </w:r>
            <w:r w:rsidR="00DF48E1">
              <w:rPr>
                <w:rFonts w:cstheme="minorBidi"/>
                <w:color w:val="auto"/>
                <w:kern w:val="2"/>
                <w:sz w:val="24"/>
                <w:szCs w:val="24"/>
                <w:lang w:val="en-GB" w:eastAsia="en-GB"/>
                <w14:ligatures w14:val="standardContextual"/>
              </w:rPr>
              <w:tab/>
            </w:r>
            <w:r w:rsidR="00DF48E1" w:rsidRPr="00D80362">
              <w:rPr>
                <w:rStyle w:val="Hyperlink"/>
              </w:rPr>
              <w:t>Cyber</w:t>
            </w:r>
            <w:r w:rsidR="00DF48E1">
              <w:rPr>
                <w:webHidden/>
              </w:rPr>
              <w:tab/>
            </w:r>
            <w:r w:rsidR="00DF48E1">
              <w:rPr>
                <w:webHidden/>
              </w:rPr>
              <w:fldChar w:fldCharType="begin"/>
            </w:r>
            <w:r w:rsidR="00DF48E1">
              <w:rPr>
                <w:webHidden/>
              </w:rPr>
              <w:instrText xml:space="preserve"> PAGEREF _Toc206691365 \h </w:instrText>
            </w:r>
            <w:r w:rsidR="00DF48E1">
              <w:rPr>
                <w:webHidden/>
              </w:rPr>
            </w:r>
            <w:r w:rsidR="00DF48E1">
              <w:rPr>
                <w:webHidden/>
              </w:rPr>
              <w:fldChar w:fldCharType="separate"/>
            </w:r>
            <w:r w:rsidR="00A97E70">
              <w:rPr>
                <w:webHidden/>
              </w:rPr>
              <w:t>6</w:t>
            </w:r>
            <w:r w:rsidR="00DF48E1">
              <w:rPr>
                <w:webHidden/>
              </w:rPr>
              <w:fldChar w:fldCharType="end"/>
            </w:r>
          </w:hyperlink>
        </w:p>
        <w:p w14:paraId="6B15404B" w14:textId="37BC7A90" w:rsidR="00DF48E1" w:rsidRDefault="00E25029">
          <w:pPr>
            <w:pStyle w:val="TOC1"/>
            <w:rPr>
              <w:rFonts w:cstheme="minorBidi"/>
              <w:color w:val="auto"/>
              <w:kern w:val="2"/>
              <w:sz w:val="24"/>
              <w:szCs w:val="24"/>
              <w:lang w:val="en-GB" w:eastAsia="en-GB"/>
              <w14:ligatures w14:val="standardContextual"/>
            </w:rPr>
          </w:pPr>
          <w:hyperlink w:anchor="_Toc206691366" w:history="1">
            <w:r w:rsidR="00DF48E1" w:rsidRPr="00D80362">
              <w:rPr>
                <w:rStyle w:val="Hyperlink"/>
              </w:rPr>
              <w:t>4</w:t>
            </w:r>
            <w:r w:rsidR="00DF48E1">
              <w:rPr>
                <w:rFonts w:cstheme="minorBidi"/>
                <w:color w:val="auto"/>
                <w:kern w:val="2"/>
                <w:sz w:val="24"/>
                <w:szCs w:val="24"/>
                <w:lang w:val="en-GB" w:eastAsia="en-GB"/>
                <w14:ligatures w14:val="standardContextual"/>
              </w:rPr>
              <w:tab/>
            </w:r>
            <w:r w:rsidR="00DF48E1" w:rsidRPr="00D80362">
              <w:rPr>
                <w:rStyle w:val="Hyperlink"/>
              </w:rPr>
              <w:t>Digitalisation, Data &amp; Innovation</w:t>
            </w:r>
            <w:r w:rsidR="00DF48E1">
              <w:rPr>
                <w:webHidden/>
              </w:rPr>
              <w:tab/>
            </w:r>
            <w:r w:rsidR="00DF48E1">
              <w:rPr>
                <w:webHidden/>
              </w:rPr>
              <w:fldChar w:fldCharType="begin"/>
            </w:r>
            <w:r w:rsidR="00DF48E1">
              <w:rPr>
                <w:webHidden/>
              </w:rPr>
              <w:instrText xml:space="preserve"> PAGEREF _Toc206691366 \h </w:instrText>
            </w:r>
            <w:r w:rsidR="00DF48E1">
              <w:rPr>
                <w:webHidden/>
              </w:rPr>
            </w:r>
            <w:r w:rsidR="00DF48E1">
              <w:rPr>
                <w:webHidden/>
              </w:rPr>
              <w:fldChar w:fldCharType="separate"/>
            </w:r>
            <w:r w:rsidR="00A97E70">
              <w:rPr>
                <w:webHidden/>
              </w:rPr>
              <w:t>7</w:t>
            </w:r>
            <w:r w:rsidR="00DF48E1">
              <w:rPr>
                <w:webHidden/>
              </w:rPr>
              <w:fldChar w:fldCharType="end"/>
            </w:r>
          </w:hyperlink>
        </w:p>
        <w:p w14:paraId="29506E9D" w14:textId="54B6C89E" w:rsidR="00DF48E1" w:rsidRDefault="00E25029">
          <w:pPr>
            <w:pStyle w:val="TOC1"/>
            <w:rPr>
              <w:rFonts w:cstheme="minorBidi"/>
              <w:color w:val="auto"/>
              <w:kern w:val="2"/>
              <w:sz w:val="24"/>
              <w:szCs w:val="24"/>
              <w:lang w:val="en-GB" w:eastAsia="en-GB"/>
              <w14:ligatures w14:val="standardContextual"/>
            </w:rPr>
          </w:pPr>
          <w:hyperlink w:anchor="_Toc206691367" w:history="1">
            <w:r w:rsidR="00DF48E1" w:rsidRPr="00D80362">
              <w:rPr>
                <w:rStyle w:val="Hyperlink"/>
              </w:rPr>
              <w:t>5</w:t>
            </w:r>
            <w:r w:rsidR="00DF48E1">
              <w:rPr>
                <w:rFonts w:cstheme="minorBidi"/>
                <w:color w:val="auto"/>
                <w:kern w:val="2"/>
                <w:sz w:val="24"/>
                <w:szCs w:val="24"/>
                <w:lang w:val="en-GB" w:eastAsia="en-GB"/>
                <w14:ligatures w14:val="standardContextual"/>
              </w:rPr>
              <w:tab/>
            </w:r>
            <w:r w:rsidR="00DF48E1" w:rsidRPr="00D80362">
              <w:rPr>
                <w:rStyle w:val="Hyperlink"/>
              </w:rPr>
              <w:t>Sustainability</w:t>
            </w:r>
            <w:r w:rsidR="00DF48E1">
              <w:rPr>
                <w:webHidden/>
              </w:rPr>
              <w:tab/>
            </w:r>
            <w:r w:rsidR="00DF48E1">
              <w:rPr>
                <w:webHidden/>
              </w:rPr>
              <w:fldChar w:fldCharType="begin"/>
            </w:r>
            <w:r w:rsidR="00DF48E1">
              <w:rPr>
                <w:webHidden/>
              </w:rPr>
              <w:instrText xml:space="preserve"> PAGEREF _Toc206691367 \h </w:instrText>
            </w:r>
            <w:r w:rsidR="00DF48E1">
              <w:rPr>
                <w:webHidden/>
              </w:rPr>
            </w:r>
            <w:r w:rsidR="00DF48E1">
              <w:rPr>
                <w:webHidden/>
              </w:rPr>
              <w:fldChar w:fldCharType="separate"/>
            </w:r>
            <w:r w:rsidR="00A97E70">
              <w:rPr>
                <w:webHidden/>
              </w:rPr>
              <w:t>9</w:t>
            </w:r>
            <w:r w:rsidR="00DF48E1">
              <w:rPr>
                <w:webHidden/>
              </w:rPr>
              <w:fldChar w:fldCharType="end"/>
            </w:r>
          </w:hyperlink>
        </w:p>
        <w:p w14:paraId="0EF05F79" w14:textId="0DB05022" w:rsidR="00A35506" w:rsidRPr="000A1C5B" w:rsidRDefault="00A35506">
          <w:pPr>
            <w:rPr>
              <w:rFonts w:cstheme="minorHAnsi"/>
            </w:rPr>
          </w:pPr>
          <w:r w:rsidRPr="00B33992">
            <w:rPr>
              <w:rFonts w:cstheme="minorHAnsi"/>
              <w:b/>
              <w:bCs/>
            </w:rPr>
            <w:fldChar w:fldCharType="end"/>
          </w:r>
        </w:p>
      </w:sdtContent>
    </w:sdt>
    <w:p w14:paraId="0B3FFF26" w14:textId="77777777" w:rsidR="000C47AB" w:rsidRPr="00B33992" w:rsidRDefault="000C47AB">
      <w:pPr>
        <w:rPr>
          <w:rFonts w:cstheme="minorHAnsi"/>
        </w:rPr>
      </w:pPr>
    </w:p>
    <w:p w14:paraId="5CFA2523" w14:textId="28D09CC4" w:rsidR="000C64DB" w:rsidRPr="00B33992" w:rsidRDefault="000C64DB" w:rsidP="00C35010">
      <w:pPr>
        <w:rPr>
          <w:rFonts w:cstheme="minorHAnsi"/>
        </w:rPr>
      </w:pPr>
    </w:p>
    <w:p w14:paraId="10862159" w14:textId="5A5C6755" w:rsidR="008A5421" w:rsidRPr="00B835FD" w:rsidRDefault="007A172F">
      <w:pPr>
        <w:pStyle w:val="Heading1"/>
        <w:rPr>
          <w:rFonts w:asciiTheme="minorHAnsi" w:hAnsiTheme="minorHAnsi" w:cstheme="minorHAnsi"/>
        </w:rPr>
      </w:pPr>
      <w:r w:rsidRPr="00B835FD">
        <w:rPr>
          <w:rFonts w:asciiTheme="minorHAnsi" w:hAnsiTheme="minorHAnsi" w:cstheme="minorHAnsi"/>
        </w:rPr>
        <w:br w:type="page"/>
      </w:r>
    </w:p>
    <w:p w14:paraId="556AC0C3" w14:textId="476B4EAD" w:rsidR="008A5421" w:rsidRPr="00253A61" w:rsidRDefault="008A5421" w:rsidP="006450CE">
      <w:pPr>
        <w:pStyle w:val="Heading1"/>
        <w:numPr>
          <w:ilvl w:val="0"/>
          <w:numId w:val="0"/>
        </w:numPr>
        <w:rPr>
          <w:rFonts w:asciiTheme="minorHAnsi" w:hAnsiTheme="minorHAnsi" w:cstheme="minorHAnsi"/>
        </w:rPr>
      </w:pPr>
      <w:bookmarkStart w:id="0" w:name="_Toc206691362"/>
      <w:r w:rsidRPr="00253A61">
        <w:rPr>
          <w:rFonts w:asciiTheme="minorHAnsi" w:hAnsiTheme="minorHAnsi" w:cstheme="minorHAnsi"/>
        </w:rPr>
        <w:lastRenderedPageBreak/>
        <w:t xml:space="preserve">INZAC </w:t>
      </w:r>
      <w:r w:rsidR="00652C74" w:rsidRPr="00253A61">
        <w:rPr>
          <w:rFonts w:asciiTheme="minorHAnsi" w:hAnsiTheme="minorHAnsi" w:cstheme="minorHAnsi"/>
        </w:rPr>
        <w:t>CONSULTATION RESPONSES</w:t>
      </w:r>
      <w:bookmarkEnd w:id="0"/>
    </w:p>
    <w:p w14:paraId="7144E946" w14:textId="77777777" w:rsidR="008A5421" w:rsidRPr="000A1C5B" w:rsidRDefault="008A5421" w:rsidP="00670010">
      <w:pPr>
        <w:rPr>
          <w:rFonts w:cstheme="minorHAnsi"/>
        </w:rPr>
      </w:pPr>
    </w:p>
    <w:p w14:paraId="30119CD6" w14:textId="198A6FEA" w:rsidR="004A2021" w:rsidRPr="00B33992" w:rsidRDefault="00491639" w:rsidP="00ED3787">
      <w:pPr>
        <w:pStyle w:val="Heading1"/>
        <w:numPr>
          <w:ilvl w:val="0"/>
          <w:numId w:val="15"/>
        </w:numPr>
        <w:spacing w:after="240"/>
        <w:ind w:left="431" w:hanging="431"/>
      </w:pPr>
      <w:bookmarkStart w:id="1" w:name="_Toc206691363"/>
      <w:r>
        <w:t>Independent Stakeholder Groups</w:t>
      </w:r>
      <w:bookmarkEnd w:id="1"/>
      <w:r w:rsidR="00961BB9" w:rsidRPr="00B33992">
        <w:t xml:space="preserve"> </w:t>
      </w:r>
    </w:p>
    <w:p w14:paraId="2810B42F" w14:textId="1F263117" w:rsidR="004A2021" w:rsidRPr="00955737" w:rsidRDefault="00491639" w:rsidP="00652C74">
      <w:pPr>
        <w:spacing w:after="120"/>
        <w:rPr>
          <w:b/>
          <w:sz w:val="22"/>
          <w:szCs w:val="22"/>
        </w:rPr>
      </w:pPr>
      <w:r w:rsidRPr="6E4776B3">
        <w:rPr>
          <w:b/>
          <w:sz w:val="22"/>
          <w:szCs w:val="22"/>
        </w:rPr>
        <w:t>Question OVQ 1 - We would welcome any views on the enduring role of the ISGs during RIIO-3 and for future price controls.</w:t>
      </w:r>
    </w:p>
    <w:p w14:paraId="45D0A217" w14:textId="1A8B487F" w:rsidR="522A92B8" w:rsidRPr="0035307B" w:rsidRDefault="522A92B8" w:rsidP="6E4776B3">
      <w:pPr>
        <w:rPr>
          <w:sz w:val="22"/>
          <w:szCs w:val="22"/>
        </w:rPr>
      </w:pPr>
    </w:p>
    <w:p w14:paraId="686108CF" w14:textId="7F51BC1B" w:rsidR="522A92B8" w:rsidRPr="0035307B" w:rsidRDefault="522A92B8" w:rsidP="6E4776B3">
      <w:pPr>
        <w:rPr>
          <w:b/>
          <w:bCs/>
          <w:sz w:val="22"/>
          <w:szCs w:val="22"/>
        </w:rPr>
      </w:pPr>
      <w:r w:rsidRPr="0035307B">
        <w:rPr>
          <w:rFonts w:ascii="Calibri" w:eastAsia="Calibri" w:hAnsi="Calibri" w:cs="Calibri"/>
          <w:b/>
          <w:bCs/>
          <w:sz w:val="22"/>
          <w:szCs w:val="22"/>
        </w:rPr>
        <w:t>ISG outcomes</w:t>
      </w:r>
    </w:p>
    <w:p w14:paraId="21152359" w14:textId="6BBCCB98" w:rsidR="522A92B8" w:rsidRPr="0035307B" w:rsidRDefault="522A92B8" w:rsidP="6E4776B3">
      <w:pPr>
        <w:pStyle w:val="ListParagraph"/>
        <w:numPr>
          <w:ilvl w:val="0"/>
          <w:numId w:val="13"/>
        </w:numPr>
        <w:rPr>
          <w:rFonts w:ascii="Calibri" w:eastAsia="Calibri" w:hAnsi="Calibri" w:cs="Calibri"/>
          <w:sz w:val="22"/>
          <w:szCs w:val="22"/>
        </w:rPr>
      </w:pPr>
      <w:r w:rsidRPr="0035307B">
        <w:rPr>
          <w:rFonts w:ascii="Calibri" w:eastAsia="Calibri" w:hAnsi="Calibri" w:cs="Calibri"/>
          <w:sz w:val="22"/>
          <w:szCs w:val="22"/>
        </w:rPr>
        <w:t xml:space="preserve">SPEN advised us that it thought the </w:t>
      </w:r>
      <w:r w:rsidR="00D06096" w:rsidRPr="00D06096">
        <w:rPr>
          <w:rFonts w:ascii="Calibri" w:eastAsia="Calibri" w:hAnsi="Calibri" w:cs="Calibri"/>
          <w:sz w:val="22"/>
          <w:szCs w:val="22"/>
        </w:rPr>
        <w:t>Independent Net Zero Advisory Council (INZAC)</w:t>
      </w:r>
      <w:r w:rsidR="00EC0AFE">
        <w:rPr>
          <w:rFonts w:ascii="Calibri" w:eastAsia="Calibri" w:hAnsi="Calibri" w:cs="Calibri"/>
          <w:sz w:val="22"/>
          <w:szCs w:val="22"/>
        </w:rPr>
        <w:t xml:space="preserve"> </w:t>
      </w:r>
      <w:r w:rsidRPr="0035307B">
        <w:rPr>
          <w:rFonts w:ascii="Calibri" w:eastAsia="Calibri" w:hAnsi="Calibri" w:cs="Calibri"/>
          <w:sz w:val="22"/>
          <w:szCs w:val="22"/>
        </w:rPr>
        <w:t xml:space="preserve">brought it real benefit and challenged its thinking in developing the Business Plan (BP).   </w:t>
      </w:r>
    </w:p>
    <w:p w14:paraId="66E5159B" w14:textId="578A466A" w:rsidR="522A92B8" w:rsidRPr="0035307B" w:rsidRDefault="522A92B8" w:rsidP="6E4776B3">
      <w:pPr>
        <w:pStyle w:val="ListParagraph"/>
        <w:numPr>
          <w:ilvl w:val="0"/>
          <w:numId w:val="13"/>
        </w:numPr>
        <w:rPr>
          <w:rFonts w:ascii="Calibri" w:eastAsia="Calibri" w:hAnsi="Calibri" w:cs="Calibri"/>
          <w:sz w:val="22"/>
          <w:szCs w:val="22"/>
        </w:rPr>
      </w:pPr>
      <w:r w:rsidRPr="0035307B">
        <w:rPr>
          <w:rFonts w:ascii="Calibri" w:eastAsia="Calibri" w:hAnsi="Calibri" w:cs="Calibri"/>
          <w:sz w:val="22"/>
          <w:szCs w:val="22"/>
        </w:rPr>
        <w:t xml:space="preserve">We believe the group has played an important role in securitising and challenging the BP. </w:t>
      </w:r>
      <w:r w:rsidR="00954E58">
        <w:rPr>
          <w:rFonts w:ascii="Calibri" w:eastAsia="Calibri" w:hAnsi="Calibri" w:cs="Calibri"/>
          <w:sz w:val="22"/>
          <w:szCs w:val="22"/>
        </w:rPr>
        <w:t>In our view t</w:t>
      </w:r>
      <w:r w:rsidRPr="0035307B">
        <w:rPr>
          <w:rFonts w:ascii="Calibri" w:eastAsia="Calibri" w:hAnsi="Calibri" w:cs="Calibri"/>
          <w:sz w:val="22"/>
          <w:szCs w:val="22"/>
        </w:rPr>
        <w:t xml:space="preserve">his external oversight has led to a more robust and well-evidenced BP that is in the interests of consumers and stakeholders, and also increased transparency of the decision-making process. </w:t>
      </w:r>
    </w:p>
    <w:p w14:paraId="64AE3D70" w14:textId="17D0BC01" w:rsidR="522A92B8" w:rsidRPr="0035307B" w:rsidRDefault="522A92B8" w:rsidP="6E4776B3">
      <w:pPr>
        <w:pStyle w:val="ListParagraph"/>
        <w:numPr>
          <w:ilvl w:val="0"/>
          <w:numId w:val="13"/>
        </w:numPr>
        <w:rPr>
          <w:rFonts w:ascii="Calibri" w:eastAsia="Calibri" w:hAnsi="Calibri" w:cs="Calibri"/>
          <w:sz w:val="22"/>
          <w:szCs w:val="22"/>
        </w:rPr>
      </w:pPr>
      <w:r w:rsidRPr="0035307B">
        <w:rPr>
          <w:rFonts w:ascii="Calibri" w:eastAsia="Calibri" w:hAnsi="Calibri" w:cs="Calibri"/>
          <w:sz w:val="22"/>
          <w:szCs w:val="22"/>
        </w:rPr>
        <w:t xml:space="preserve">The mandate for the groups in T3 was clear and provided the groups with standing and remit (particularly around stakeholder engagement). Ofgem guidance has been important to mandate and empower the </w:t>
      </w:r>
      <w:r w:rsidR="00387DC6" w:rsidRPr="00387DC6">
        <w:rPr>
          <w:rFonts w:ascii="Calibri" w:eastAsia="Calibri" w:hAnsi="Calibri" w:cs="Calibri"/>
          <w:sz w:val="22"/>
          <w:szCs w:val="22"/>
        </w:rPr>
        <w:t>Independent Stakeholder Group</w:t>
      </w:r>
      <w:r w:rsidR="00387DC6">
        <w:rPr>
          <w:rFonts w:ascii="Calibri" w:eastAsia="Calibri" w:hAnsi="Calibri" w:cs="Calibri"/>
          <w:sz w:val="22"/>
          <w:szCs w:val="22"/>
        </w:rPr>
        <w:t>s</w:t>
      </w:r>
      <w:r w:rsidR="00387DC6" w:rsidRPr="00387DC6">
        <w:rPr>
          <w:rFonts w:ascii="Calibri" w:eastAsia="Calibri" w:hAnsi="Calibri" w:cs="Calibri"/>
          <w:sz w:val="22"/>
          <w:szCs w:val="22"/>
        </w:rPr>
        <w:t xml:space="preserve"> (ISG</w:t>
      </w:r>
      <w:r w:rsidR="00387DC6">
        <w:rPr>
          <w:rFonts w:ascii="Calibri" w:eastAsia="Calibri" w:hAnsi="Calibri" w:cs="Calibri"/>
          <w:sz w:val="22"/>
          <w:szCs w:val="22"/>
        </w:rPr>
        <w:t>s</w:t>
      </w:r>
      <w:r w:rsidR="00387DC6" w:rsidRPr="00387DC6">
        <w:rPr>
          <w:rFonts w:ascii="Calibri" w:eastAsia="Calibri" w:hAnsi="Calibri" w:cs="Calibri"/>
          <w:sz w:val="22"/>
          <w:szCs w:val="22"/>
        </w:rPr>
        <w:t xml:space="preserve">) </w:t>
      </w:r>
      <w:r w:rsidRPr="0035307B">
        <w:rPr>
          <w:rFonts w:ascii="Calibri" w:eastAsia="Calibri" w:hAnsi="Calibri" w:cs="Calibri"/>
          <w:sz w:val="22"/>
          <w:szCs w:val="22"/>
        </w:rPr>
        <w:t xml:space="preserve">and confirm that their remit covered both BP process and BAU performance. </w:t>
      </w:r>
    </w:p>
    <w:p w14:paraId="6EE7132C" w14:textId="79BACB2D" w:rsidR="522A92B8" w:rsidRPr="0035307B" w:rsidRDefault="522A92B8" w:rsidP="6E4776B3">
      <w:pPr>
        <w:pStyle w:val="ListParagraph"/>
        <w:numPr>
          <w:ilvl w:val="0"/>
          <w:numId w:val="13"/>
        </w:numPr>
        <w:rPr>
          <w:rFonts w:ascii="Calibri" w:eastAsia="Calibri" w:hAnsi="Calibri" w:cs="Calibri"/>
          <w:sz w:val="22"/>
          <w:szCs w:val="22"/>
        </w:rPr>
      </w:pPr>
      <w:r w:rsidRPr="0035307B">
        <w:rPr>
          <w:rFonts w:ascii="Calibri" w:eastAsia="Calibri" w:hAnsi="Calibri" w:cs="Calibri"/>
          <w:sz w:val="22"/>
          <w:szCs w:val="22"/>
        </w:rPr>
        <w:t xml:space="preserve">Ofgem’s guidance clearly emphasised the importance of stakeholder engagement, requiring companies to demonstrate how stakeholder feedback had been incorporated into the BPs, whilst confirming that ISGs were not themselves stakeholders. This enabled ISGs to challenge inadequate engagement or unaddressed stakeholder concerns. </w:t>
      </w:r>
    </w:p>
    <w:p w14:paraId="20B2F9FA" w14:textId="29465931" w:rsidR="522A92B8" w:rsidRPr="0035307B" w:rsidRDefault="522A92B8" w:rsidP="6E4776B3">
      <w:pPr>
        <w:rPr>
          <w:sz w:val="22"/>
          <w:szCs w:val="22"/>
        </w:rPr>
      </w:pPr>
      <w:r w:rsidRPr="0035307B">
        <w:rPr>
          <w:rFonts w:ascii="Calibri" w:eastAsia="Calibri" w:hAnsi="Calibri" w:cs="Calibri"/>
          <w:sz w:val="22"/>
          <w:szCs w:val="22"/>
        </w:rPr>
        <w:t xml:space="preserve"> </w:t>
      </w:r>
    </w:p>
    <w:p w14:paraId="5C4B9C8F" w14:textId="0CCBD790" w:rsidR="522A92B8" w:rsidRPr="0035307B" w:rsidRDefault="522A92B8" w:rsidP="6E4776B3">
      <w:pPr>
        <w:rPr>
          <w:b/>
          <w:bCs/>
          <w:sz w:val="22"/>
          <w:szCs w:val="22"/>
        </w:rPr>
      </w:pPr>
      <w:r w:rsidRPr="0035307B">
        <w:rPr>
          <w:rFonts w:ascii="Calibri" w:eastAsia="Calibri" w:hAnsi="Calibri" w:cs="Calibri"/>
          <w:b/>
          <w:bCs/>
          <w:sz w:val="22"/>
          <w:szCs w:val="22"/>
        </w:rPr>
        <w:t>Our experience</w:t>
      </w:r>
    </w:p>
    <w:p w14:paraId="4A9917DE" w14:textId="72751C03" w:rsidR="522A92B8" w:rsidRPr="0035307B" w:rsidRDefault="522A92B8" w:rsidP="6E4776B3">
      <w:pPr>
        <w:pStyle w:val="ListParagraph"/>
        <w:numPr>
          <w:ilvl w:val="0"/>
          <w:numId w:val="12"/>
        </w:numPr>
        <w:rPr>
          <w:rFonts w:ascii="Calibri" w:eastAsia="Calibri" w:hAnsi="Calibri" w:cs="Calibri"/>
          <w:sz w:val="22"/>
          <w:szCs w:val="22"/>
        </w:rPr>
      </w:pPr>
      <w:r w:rsidRPr="0035307B">
        <w:rPr>
          <w:rFonts w:ascii="Calibri" w:eastAsia="Calibri" w:hAnsi="Calibri" w:cs="Calibri"/>
          <w:sz w:val="22"/>
          <w:szCs w:val="22"/>
        </w:rPr>
        <w:t xml:space="preserve">At the start of RIIO 2, SPEN committed to setting up a group – the INZAC - that would ‘bring the outside in’ and provide constructive challenge. </w:t>
      </w:r>
    </w:p>
    <w:p w14:paraId="2B2FD8DD" w14:textId="0696BCC0" w:rsidR="522A92B8" w:rsidRPr="0035307B" w:rsidRDefault="522A92B8" w:rsidP="6E4776B3">
      <w:pPr>
        <w:pStyle w:val="ListParagraph"/>
        <w:numPr>
          <w:ilvl w:val="0"/>
          <w:numId w:val="12"/>
        </w:numPr>
        <w:rPr>
          <w:rFonts w:ascii="Calibri" w:eastAsia="Calibri" w:hAnsi="Calibri" w:cs="Calibri"/>
          <w:sz w:val="22"/>
          <w:szCs w:val="22"/>
        </w:rPr>
      </w:pPr>
      <w:r w:rsidRPr="0035307B">
        <w:rPr>
          <w:rFonts w:ascii="Calibri" w:eastAsia="Calibri" w:hAnsi="Calibri" w:cs="Calibri"/>
          <w:sz w:val="22"/>
          <w:szCs w:val="22"/>
        </w:rPr>
        <w:t xml:space="preserve">The INZAC has a system of small ‘buddy’ groups that allows members to work directly with SPEN subject teams to provide deep-dive early-stage challenge to different parts of the company.  </w:t>
      </w:r>
    </w:p>
    <w:p w14:paraId="58D47053" w14:textId="7CB5561B" w:rsidR="522A92B8" w:rsidRPr="0035307B" w:rsidRDefault="522A92B8" w:rsidP="6E4776B3">
      <w:pPr>
        <w:pStyle w:val="ListParagraph"/>
        <w:numPr>
          <w:ilvl w:val="0"/>
          <w:numId w:val="12"/>
        </w:numPr>
        <w:rPr>
          <w:rFonts w:ascii="Calibri" w:eastAsia="Calibri" w:hAnsi="Calibri" w:cs="Calibri"/>
          <w:sz w:val="22"/>
          <w:szCs w:val="22"/>
        </w:rPr>
      </w:pPr>
      <w:r w:rsidRPr="0035307B">
        <w:rPr>
          <w:rFonts w:ascii="Calibri" w:eastAsia="Calibri" w:hAnsi="Calibri" w:cs="Calibri"/>
          <w:sz w:val="22"/>
          <w:szCs w:val="22"/>
        </w:rPr>
        <w:t xml:space="preserve">When </w:t>
      </w:r>
      <w:r w:rsidR="00954E58">
        <w:rPr>
          <w:rFonts w:ascii="Calibri" w:eastAsia="Calibri" w:hAnsi="Calibri" w:cs="Calibri"/>
          <w:sz w:val="22"/>
          <w:szCs w:val="22"/>
        </w:rPr>
        <w:t xml:space="preserve">the </w:t>
      </w:r>
      <w:r w:rsidRPr="0035307B">
        <w:rPr>
          <w:rFonts w:ascii="Calibri" w:eastAsia="Calibri" w:hAnsi="Calibri" w:cs="Calibri"/>
          <w:sz w:val="22"/>
          <w:szCs w:val="22"/>
        </w:rPr>
        <w:t>ISGs were mandated by Ofgem</w:t>
      </w:r>
      <w:r w:rsidR="003D20E4">
        <w:rPr>
          <w:rFonts w:ascii="Calibri" w:eastAsia="Calibri" w:hAnsi="Calibri" w:cs="Calibri"/>
          <w:sz w:val="22"/>
          <w:szCs w:val="22"/>
        </w:rPr>
        <w:t>,</w:t>
      </w:r>
      <w:r w:rsidRPr="0035307B">
        <w:rPr>
          <w:rFonts w:ascii="Calibri" w:eastAsia="Calibri" w:hAnsi="Calibri" w:cs="Calibri"/>
          <w:sz w:val="22"/>
          <w:szCs w:val="22"/>
        </w:rPr>
        <w:t xml:space="preserve"> </w:t>
      </w:r>
      <w:r w:rsidR="00954E58">
        <w:rPr>
          <w:rFonts w:ascii="Calibri" w:eastAsia="Calibri" w:hAnsi="Calibri" w:cs="Calibri"/>
          <w:sz w:val="22"/>
          <w:szCs w:val="22"/>
        </w:rPr>
        <w:t xml:space="preserve">after consideration, </w:t>
      </w:r>
      <w:r w:rsidRPr="0035307B">
        <w:rPr>
          <w:rFonts w:ascii="Calibri" w:eastAsia="Calibri" w:hAnsi="Calibri" w:cs="Calibri"/>
          <w:sz w:val="22"/>
          <w:szCs w:val="22"/>
        </w:rPr>
        <w:t xml:space="preserve">the company and the group agreed, that the INZAC was able to act as SPEN’s ISG for T3 (plus ongoing performance of T2 and ED2). </w:t>
      </w:r>
    </w:p>
    <w:p w14:paraId="32863B6B" w14:textId="13BC7F11" w:rsidR="522A92B8" w:rsidRPr="0035307B" w:rsidRDefault="522A92B8" w:rsidP="6E4776B3">
      <w:pPr>
        <w:pStyle w:val="ListParagraph"/>
        <w:numPr>
          <w:ilvl w:val="0"/>
          <w:numId w:val="12"/>
        </w:numPr>
        <w:rPr>
          <w:rFonts w:ascii="Calibri" w:eastAsia="Calibri" w:hAnsi="Calibri" w:cs="Calibri"/>
          <w:sz w:val="22"/>
          <w:szCs w:val="22"/>
        </w:rPr>
      </w:pPr>
      <w:r w:rsidRPr="0035307B">
        <w:rPr>
          <w:rFonts w:ascii="Calibri" w:eastAsia="Calibri" w:hAnsi="Calibri" w:cs="Calibri"/>
          <w:sz w:val="22"/>
          <w:szCs w:val="22"/>
        </w:rPr>
        <w:t xml:space="preserve">We appreciated the Ofgem guidance given to the groups within the RIIO-3 Business Plan Guidance, and the fact that the group already had positive relationships with the company meant it could be effective although the guidance was rather late in the process. </w:t>
      </w:r>
    </w:p>
    <w:p w14:paraId="7E90BCF2" w14:textId="2B2FFC7D" w:rsidR="522A92B8" w:rsidRPr="0035307B" w:rsidRDefault="522A92B8" w:rsidP="6E4776B3">
      <w:pPr>
        <w:pStyle w:val="ListParagraph"/>
        <w:numPr>
          <w:ilvl w:val="0"/>
          <w:numId w:val="12"/>
        </w:numPr>
        <w:rPr>
          <w:rFonts w:ascii="Calibri" w:eastAsia="Calibri" w:hAnsi="Calibri" w:cs="Calibri"/>
          <w:sz w:val="22"/>
          <w:szCs w:val="22"/>
        </w:rPr>
      </w:pPr>
      <w:r w:rsidRPr="0035307B">
        <w:rPr>
          <w:rFonts w:ascii="Calibri" w:eastAsia="Calibri" w:hAnsi="Calibri" w:cs="Calibri"/>
          <w:sz w:val="22"/>
          <w:szCs w:val="22"/>
        </w:rPr>
        <w:t xml:space="preserve">This was </w:t>
      </w:r>
      <w:r w:rsidR="003D20E4">
        <w:rPr>
          <w:rFonts w:ascii="Calibri" w:eastAsia="Calibri" w:hAnsi="Calibri" w:cs="Calibri"/>
          <w:sz w:val="22"/>
          <w:szCs w:val="22"/>
        </w:rPr>
        <w:t>augmented</w:t>
      </w:r>
      <w:r w:rsidR="003D20E4" w:rsidRPr="0035307B">
        <w:rPr>
          <w:rFonts w:ascii="Calibri" w:eastAsia="Calibri" w:hAnsi="Calibri" w:cs="Calibri"/>
          <w:sz w:val="22"/>
          <w:szCs w:val="22"/>
        </w:rPr>
        <w:t xml:space="preserve"> </w:t>
      </w:r>
      <w:r w:rsidRPr="0035307B">
        <w:rPr>
          <w:rFonts w:ascii="Calibri" w:eastAsia="Calibri" w:hAnsi="Calibri" w:cs="Calibri"/>
          <w:sz w:val="22"/>
          <w:szCs w:val="22"/>
        </w:rPr>
        <w:t xml:space="preserve">by the existence of the ‘Buddy Groups,’ which helped with ‘deep dive’ challenges to both the company’s thinking and what was submitted in the plan. </w:t>
      </w:r>
    </w:p>
    <w:p w14:paraId="37592835" w14:textId="359EE36D" w:rsidR="522A92B8" w:rsidRPr="0035307B" w:rsidRDefault="522A92B8" w:rsidP="6E4776B3">
      <w:pPr>
        <w:pStyle w:val="ListParagraph"/>
        <w:numPr>
          <w:ilvl w:val="0"/>
          <w:numId w:val="12"/>
        </w:numPr>
        <w:rPr>
          <w:rFonts w:ascii="Calibri" w:eastAsia="Calibri" w:hAnsi="Calibri" w:cs="Calibri"/>
          <w:sz w:val="22"/>
          <w:szCs w:val="22"/>
        </w:rPr>
      </w:pPr>
      <w:r w:rsidRPr="0035307B">
        <w:rPr>
          <w:rFonts w:ascii="Calibri" w:eastAsia="Calibri" w:hAnsi="Calibri" w:cs="Calibri"/>
          <w:sz w:val="22"/>
          <w:szCs w:val="22"/>
        </w:rPr>
        <w:t xml:space="preserve">Both the INZAC and SPEN tracked the work of the group as a whole and the buddy groups: the INZAC members provided reflections, feedback and ‘strategic challenges’ or ‘quick wins’ after meetings (a process used by some members in previous ED, GD and water business planning cycles), while SPEN tracked these and the company’s responses in Excel Engagement Logbooks, which also summarised, the stakeholder engagement undertaken and how the outputs were being used in decision making. This provided necessary information for the ISG </w:t>
      </w:r>
      <w:r w:rsidR="00954E58">
        <w:rPr>
          <w:rFonts w:ascii="Calibri" w:eastAsia="Calibri" w:hAnsi="Calibri" w:cs="Calibri"/>
          <w:sz w:val="22"/>
          <w:szCs w:val="22"/>
        </w:rPr>
        <w:t xml:space="preserve">for our Call for Evidence submission </w:t>
      </w:r>
      <w:r w:rsidRPr="0035307B">
        <w:rPr>
          <w:rFonts w:ascii="Calibri" w:eastAsia="Calibri" w:hAnsi="Calibri" w:cs="Calibri"/>
          <w:sz w:val="22"/>
          <w:szCs w:val="22"/>
        </w:rPr>
        <w:t xml:space="preserve">without being too onerous for SPEN’s teams.  </w:t>
      </w:r>
    </w:p>
    <w:p w14:paraId="6D266B76" w14:textId="77777777" w:rsidR="00287B7E" w:rsidRPr="0035307B" w:rsidRDefault="00287B7E" w:rsidP="6E4776B3">
      <w:pPr>
        <w:rPr>
          <w:rFonts w:ascii="Calibri" w:eastAsia="Calibri" w:hAnsi="Calibri" w:cs="Calibri"/>
          <w:sz w:val="22"/>
          <w:szCs w:val="22"/>
        </w:rPr>
      </w:pPr>
    </w:p>
    <w:p w14:paraId="0F2264CB" w14:textId="12218675" w:rsidR="522A92B8" w:rsidRPr="0035307B" w:rsidRDefault="522A92B8" w:rsidP="6E4776B3">
      <w:pPr>
        <w:rPr>
          <w:sz w:val="22"/>
          <w:szCs w:val="22"/>
        </w:rPr>
      </w:pPr>
      <w:r w:rsidRPr="0035307B">
        <w:rPr>
          <w:rFonts w:ascii="Calibri" w:eastAsia="Calibri" w:hAnsi="Calibri" w:cs="Calibri"/>
          <w:sz w:val="22"/>
          <w:szCs w:val="22"/>
        </w:rPr>
        <w:t xml:space="preserve">An important part of ISG’s value is their ability to effectively scrutinise and challenge how consumers and stakeholders are engaged, and ISGs are well suited to this role. Engagement comes in many shapes and sizes and the regular contact ISGs have with the companies, particularly if subgroups are in operation, provides a good platform for continuous scrutiny of engagement as it is planned, </w:t>
      </w:r>
      <w:r w:rsidRPr="0035307B">
        <w:rPr>
          <w:rFonts w:ascii="Calibri" w:eastAsia="Calibri" w:hAnsi="Calibri" w:cs="Calibri"/>
          <w:sz w:val="22"/>
          <w:szCs w:val="22"/>
        </w:rPr>
        <w:lastRenderedPageBreak/>
        <w:t>executed and refined, and of how feedback influences the</w:t>
      </w:r>
      <w:r w:rsidR="00813B00">
        <w:rPr>
          <w:rFonts w:ascii="Calibri" w:eastAsia="Calibri" w:hAnsi="Calibri" w:cs="Calibri"/>
          <w:sz w:val="22"/>
          <w:szCs w:val="22"/>
        </w:rPr>
        <w:t xml:space="preserve"> company’s</w:t>
      </w:r>
      <w:r w:rsidRPr="0035307B">
        <w:rPr>
          <w:rFonts w:ascii="Calibri" w:eastAsia="Calibri" w:hAnsi="Calibri" w:cs="Calibri"/>
          <w:sz w:val="22"/>
          <w:szCs w:val="22"/>
        </w:rPr>
        <w:t xml:space="preserve"> decisions. Omissions or problems can be addressed quickly. The ‘Enhanced engagement framework’ guidance from Ofgem setting out what information companies needed to provide to their ISGs about their stakeholder engagement and its influence on business decisions brought important clarity to this part of the ISGs’ role and the requirements for both company and ISG.</w:t>
      </w:r>
    </w:p>
    <w:p w14:paraId="638CB16E" w14:textId="77777777" w:rsidR="00287B7E" w:rsidRPr="0035307B" w:rsidRDefault="00287B7E" w:rsidP="6E4776B3">
      <w:pPr>
        <w:rPr>
          <w:rFonts w:ascii="Calibri" w:eastAsia="Calibri" w:hAnsi="Calibri" w:cs="Calibri"/>
          <w:sz w:val="22"/>
          <w:szCs w:val="22"/>
        </w:rPr>
      </w:pPr>
    </w:p>
    <w:p w14:paraId="1E7DFE01" w14:textId="009CB924" w:rsidR="522A92B8" w:rsidRPr="0035307B" w:rsidRDefault="522A92B8" w:rsidP="6E4776B3">
      <w:pPr>
        <w:rPr>
          <w:sz w:val="22"/>
          <w:szCs w:val="22"/>
        </w:rPr>
      </w:pPr>
      <w:r w:rsidRPr="0035307B">
        <w:rPr>
          <w:rFonts w:ascii="Calibri" w:eastAsia="Calibri" w:hAnsi="Calibri" w:cs="Calibri"/>
          <w:sz w:val="22"/>
          <w:szCs w:val="22"/>
        </w:rPr>
        <w:t>In addition, ISGs provide the opportunity for strategic challenge:</w:t>
      </w:r>
    </w:p>
    <w:p w14:paraId="1DF43384" w14:textId="1D4FB536" w:rsidR="522A92B8" w:rsidRPr="0035307B" w:rsidRDefault="522A92B8" w:rsidP="6E4776B3">
      <w:pPr>
        <w:pStyle w:val="ListParagraph"/>
        <w:numPr>
          <w:ilvl w:val="0"/>
          <w:numId w:val="11"/>
        </w:numPr>
        <w:rPr>
          <w:rFonts w:ascii="Calibri" w:eastAsia="Calibri" w:hAnsi="Calibri" w:cs="Calibri"/>
          <w:sz w:val="22"/>
          <w:szCs w:val="22"/>
        </w:rPr>
      </w:pPr>
      <w:r w:rsidRPr="0035307B">
        <w:rPr>
          <w:rFonts w:ascii="Calibri" w:eastAsia="Calibri" w:hAnsi="Calibri" w:cs="Calibri"/>
          <w:sz w:val="22"/>
          <w:szCs w:val="22"/>
        </w:rPr>
        <w:t xml:space="preserve">Across the UK we are seeing an increasing level of integration in networks, and the nexus with other critical networks e.g. transport. We believe ISG representation for customers then becomes increasingly more important, as does the need to challenge – and potentially provide evidence on - emergent best practice during such transformational programmes. </w:t>
      </w:r>
    </w:p>
    <w:p w14:paraId="479D111B" w14:textId="5C13521B" w:rsidR="522A92B8" w:rsidRPr="0035307B" w:rsidRDefault="522A92B8" w:rsidP="6E4776B3">
      <w:pPr>
        <w:pStyle w:val="ListParagraph"/>
        <w:numPr>
          <w:ilvl w:val="0"/>
          <w:numId w:val="11"/>
        </w:numPr>
        <w:rPr>
          <w:rFonts w:ascii="Calibri" w:eastAsia="Calibri" w:hAnsi="Calibri" w:cs="Calibri"/>
          <w:sz w:val="22"/>
          <w:szCs w:val="22"/>
        </w:rPr>
      </w:pPr>
      <w:r w:rsidRPr="0035307B">
        <w:rPr>
          <w:rFonts w:ascii="Calibri" w:eastAsia="Calibri" w:hAnsi="Calibri" w:cs="Calibri"/>
          <w:sz w:val="22"/>
          <w:szCs w:val="22"/>
        </w:rPr>
        <w:t>Networks have to adapt to new business models and technologies (internally and within their customers), and ‘whole system’ interactions with other networks. External complementary expertise within the ISG provides value, both by providing access to other viewpoints and by drawing on experience of transitions within other organisations</w:t>
      </w:r>
      <w:r w:rsidR="00954E58">
        <w:rPr>
          <w:rFonts w:ascii="Calibri" w:eastAsia="Calibri" w:hAnsi="Calibri" w:cs="Calibri"/>
          <w:sz w:val="22"/>
          <w:szCs w:val="22"/>
        </w:rPr>
        <w:t xml:space="preserve"> and sectors</w:t>
      </w:r>
      <w:r w:rsidRPr="0035307B">
        <w:rPr>
          <w:rFonts w:ascii="Calibri" w:eastAsia="Calibri" w:hAnsi="Calibri" w:cs="Calibri"/>
          <w:sz w:val="22"/>
          <w:szCs w:val="22"/>
        </w:rPr>
        <w:t xml:space="preserve">. </w:t>
      </w:r>
    </w:p>
    <w:p w14:paraId="55404A5D" w14:textId="322120C4" w:rsidR="522A92B8" w:rsidRPr="0035307B" w:rsidRDefault="522A92B8" w:rsidP="6E4776B3">
      <w:pPr>
        <w:pStyle w:val="ListParagraph"/>
        <w:numPr>
          <w:ilvl w:val="0"/>
          <w:numId w:val="11"/>
        </w:numPr>
        <w:rPr>
          <w:rFonts w:ascii="Calibri" w:eastAsia="Calibri" w:hAnsi="Calibri" w:cs="Calibri"/>
          <w:sz w:val="22"/>
          <w:szCs w:val="22"/>
        </w:rPr>
      </w:pPr>
      <w:r w:rsidRPr="0035307B">
        <w:rPr>
          <w:rFonts w:ascii="Calibri" w:eastAsia="Calibri" w:hAnsi="Calibri" w:cs="Calibri"/>
          <w:sz w:val="22"/>
          <w:szCs w:val="22"/>
        </w:rPr>
        <w:t>ISGs offer a vital opportunity for networks to review, reflect on and benchmark their processes and priorities to respond to increasingly complex customer and societal needs. ISG members provide awareness of factors outwith organisational expertise, e</w:t>
      </w:r>
      <w:r w:rsidR="00954E58">
        <w:rPr>
          <w:rFonts w:ascii="Calibri" w:eastAsia="Calibri" w:hAnsi="Calibri" w:cs="Calibri"/>
          <w:sz w:val="22"/>
          <w:szCs w:val="22"/>
        </w:rPr>
        <w:t>.</w:t>
      </w:r>
      <w:r w:rsidRPr="0035307B">
        <w:rPr>
          <w:rFonts w:ascii="Calibri" w:eastAsia="Calibri" w:hAnsi="Calibri" w:cs="Calibri"/>
          <w:sz w:val="22"/>
          <w:szCs w:val="22"/>
        </w:rPr>
        <w:t>g</w:t>
      </w:r>
      <w:r w:rsidR="00954E58">
        <w:rPr>
          <w:rFonts w:ascii="Calibri" w:eastAsia="Calibri" w:hAnsi="Calibri" w:cs="Calibri"/>
          <w:sz w:val="22"/>
          <w:szCs w:val="22"/>
        </w:rPr>
        <w:t>.</w:t>
      </w:r>
      <w:r w:rsidRPr="0035307B">
        <w:rPr>
          <w:rFonts w:ascii="Calibri" w:eastAsia="Calibri" w:hAnsi="Calibri" w:cs="Calibri"/>
          <w:sz w:val="22"/>
          <w:szCs w:val="22"/>
        </w:rPr>
        <w:t xml:space="preserve"> the needs of specific industrial sectors or the elements of effective communication.  </w:t>
      </w:r>
    </w:p>
    <w:p w14:paraId="06CE96FF" w14:textId="682A03E7" w:rsidR="522A92B8" w:rsidRPr="0035307B" w:rsidRDefault="522A92B8" w:rsidP="6E4776B3">
      <w:pPr>
        <w:rPr>
          <w:sz w:val="22"/>
          <w:szCs w:val="22"/>
        </w:rPr>
      </w:pPr>
      <w:r w:rsidRPr="0035307B">
        <w:rPr>
          <w:rFonts w:ascii="Calibri" w:eastAsia="Calibri" w:hAnsi="Calibri" w:cs="Calibri"/>
          <w:sz w:val="22"/>
          <w:szCs w:val="22"/>
        </w:rPr>
        <w:t xml:space="preserve"> </w:t>
      </w:r>
    </w:p>
    <w:p w14:paraId="54EF21C0" w14:textId="5AEA3C81" w:rsidR="522A92B8" w:rsidRPr="0035307B" w:rsidRDefault="522A92B8" w:rsidP="6E4776B3">
      <w:pPr>
        <w:rPr>
          <w:b/>
          <w:bCs/>
          <w:sz w:val="22"/>
          <w:szCs w:val="22"/>
        </w:rPr>
      </w:pPr>
      <w:r w:rsidRPr="0035307B">
        <w:rPr>
          <w:rFonts w:ascii="Calibri" w:eastAsia="Calibri" w:hAnsi="Calibri" w:cs="Calibri"/>
          <w:b/>
          <w:bCs/>
          <w:sz w:val="22"/>
          <w:szCs w:val="22"/>
        </w:rPr>
        <w:t>Guidance and recommendations</w:t>
      </w:r>
    </w:p>
    <w:p w14:paraId="67ECF460" w14:textId="5228C950" w:rsidR="522A92B8" w:rsidRPr="0035307B" w:rsidRDefault="00F26DFD" w:rsidP="6E4776B3">
      <w:pPr>
        <w:rPr>
          <w:sz w:val="22"/>
          <w:szCs w:val="22"/>
        </w:rPr>
      </w:pPr>
      <w:r>
        <w:rPr>
          <w:rFonts w:ascii="Calibri" w:eastAsia="Calibri" w:hAnsi="Calibri" w:cs="Calibri"/>
          <w:sz w:val="22"/>
          <w:szCs w:val="22"/>
        </w:rPr>
        <w:t xml:space="preserve">As set out above </w:t>
      </w:r>
      <w:r w:rsidR="522A92B8" w:rsidRPr="0035307B">
        <w:rPr>
          <w:rFonts w:ascii="Calibri" w:eastAsia="Calibri" w:hAnsi="Calibri" w:cs="Calibri"/>
          <w:sz w:val="22"/>
          <w:szCs w:val="22"/>
        </w:rPr>
        <w:t>Ofgem’s guidance around stakeholder engagement has provided helpful clarification. Other points where clarification would be helpful are:</w:t>
      </w:r>
    </w:p>
    <w:p w14:paraId="7CD20EA1" w14:textId="78E47A3A" w:rsidR="522A92B8" w:rsidRPr="0035307B" w:rsidRDefault="522A92B8" w:rsidP="6E4776B3">
      <w:pPr>
        <w:pStyle w:val="ListParagraph"/>
        <w:numPr>
          <w:ilvl w:val="0"/>
          <w:numId w:val="10"/>
        </w:numPr>
        <w:rPr>
          <w:rFonts w:ascii="Calibri" w:eastAsia="Calibri" w:hAnsi="Calibri" w:cs="Calibri"/>
          <w:sz w:val="22"/>
          <w:szCs w:val="22"/>
        </w:rPr>
      </w:pPr>
      <w:r w:rsidRPr="0035307B">
        <w:rPr>
          <w:rFonts w:ascii="Calibri" w:eastAsia="Calibri" w:hAnsi="Calibri" w:cs="Calibri"/>
          <w:sz w:val="22"/>
          <w:szCs w:val="22"/>
        </w:rPr>
        <w:t xml:space="preserve">Confirmation that companies’ regulatory and oversight relationship with Ofgem and DESNZ means this should not be counted as stakeholder engagement by the companies. </w:t>
      </w:r>
    </w:p>
    <w:p w14:paraId="40DF4F22" w14:textId="2B87A3BE" w:rsidR="522A92B8" w:rsidRPr="0035307B" w:rsidRDefault="522A92B8" w:rsidP="6E4776B3">
      <w:pPr>
        <w:pStyle w:val="ListParagraph"/>
        <w:numPr>
          <w:ilvl w:val="0"/>
          <w:numId w:val="10"/>
        </w:numPr>
        <w:rPr>
          <w:rFonts w:ascii="Calibri" w:eastAsia="Calibri" w:hAnsi="Calibri" w:cs="Calibri"/>
          <w:sz w:val="22"/>
          <w:szCs w:val="22"/>
        </w:rPr>
      </w:pPr>
      <w:r w:rsidRPr="0035307B">
        <w:rPr>
          <w:rFonts w:ascii="Calibri" w:eastAsia="Calibri" w:hAnsi="Calibri" w:cs="Calibri"/>
          <w:sz w:val="22"/>
          <w:szCs w:val="22"/>
        </w:rPr>
        <w:t xml:space="preserve">Confirmation that companies must support and work with their ISGs </w:t>
      </w:r>
      <w:r w:rsidR="00F26DFD">
        <w:rPr>
          <w:rFonts w:ascii="Calibri" w:eastAsia="Calibri" w:hAnsi="Calibri" w:cs="Calibri"/>
          <w:sz w:val="22"/>
          <w:szCs w:val="22"/>
        </w:rPr>
        <w:t>with</w:t>
      </w:r>
      <w:r w:rsidRPr="0035307B">
        <w:rPr>
          <w:rFonts w:ascii="Calibri" w:eastAsia="Calibri" w:hAnsi="Calibri" w:cs="Calibri"/>
          <w:sz w:val="22"/>
          <w:szCs w:val="22"/>
        </w:rPr>
        <w:t xml:space="preserve"> clear consequences for those who do not.</w:t>
      </w:r>
    </w:p>
    <w:p w14:paraId="354D725A" w14:textId="7F791E95" w:rsidR="522A92B8" w:rsidRPr="0035307B" w:rsidRDefault="522A92B8" w:rsidP="6E4776B3">
      <w:pPr>
        <w:pStyle w:val="ListParagraph"/>
        <w:numPr>
          <w:ilvl w:val="0"/>
          <w:numId w:val="10"/>
        </w:numPr>
        <w:rPr>
          <w:rFonts w:ascii="Calibri" w:eastAsia="Calibri" w:hAnsi="Calibri" w:cs="Calibri"/>
          <w:sz w:val="22"/>
          <w:szCs w:val="22"/>
        </w:rPr>
      </w:pPr>
      <w:r w:rsidRPr="0035307B">
        <w:rPr>
          <w:rFonts w:ascii="Calibri" w:eastAsia="Calibri" w:hAnsi="Calibri" w:cs="Calibri"/>
          <w:sz w:val="22"/>
          <w:szCs w:val="22"/>
        </w:rPr>
        <w:t>Guidance on elements of ISG membership specialisms to give some consistency (e.g. stakeholder engagement, consumer policy, sustainability/Net Zero, technology) while giving companies freedom to take decisions on the overall composition of the</w:t>
      </w:r>
      <w:r w:rsidR="00F26DFD">
        <w:rPr>
          <w:rFonts w:ascii="Calibri" w:eastAsia="Calibri" w:hAnsi="Calibri" w:cs="Calibri"/>
          <w:sz w:val="22"/>
          <w:szCs w:val="22"/>
        </w:rPr>
        <w:t>ir</w:t>
      </w:r>
      <w:r w:rsidRPr="0035307B">
        <w:rPr>
          <w:rFonts w:ascii="Calibri" w:eastAsia="Calibri" w:hAnsi="Calibri" w:cs="Calibri"/>
          <w:sz w:val="22"/>
          <w:szCs w:val="22"/>
        </w:rPr>
        <w:t xml:space="preserve"> group. Some specialist concerns have particular aspects that will be important to the ISG and customers, although the ISG does not have a general responsibility to challenge on the topic. For example cybersecurity is not part of ISG’s remit. However, cybersecurity is also an interface with customers and stakeholders, with privacy, control and security implications for them. The network company or ISG may want to have representation on this aspect.   </w:t>
      </w:r>
    </w:p>
    <w:p w14:paraId="619CD472" w14:textId="3489F365" w:rsidR="522A92B8" w:rsidRPr="0035307B" w:rsidRDefault="522A92B8" w:rsidP="6E4776B3">
      <w:pPr>
        <w:pStyle w:val="ListParagraph"/>
        <w:numPr>
          <w:ilvl w:val="0"/>
          <w:numId w:val="9"/>
        </w:numPr>
        <w:rPr>
          <w:rFonts w:ascii="Calibri" w:eastAsia="Calibri" w:hAnsi="Calibri" w:cs="Calibri"/>
          <w:sz w:val="22"/>
          <w:szCs w:val="22"/>
        </w:rPr>
      </w:pPr>
      <w:r w:rsidRPr="0035307B">
        <w:rPr>
          <w:rFonts w:ascii="Calibri" w:eastAsia="Calibri" w:hAnsi="Calibri" w:cs="Calibri"/>
          <w:sz w:val="22"/>
          <w:szCs w:val="22"/>
        </w:rPr>
        <w:t xml:space="preserve">Guidance on if, when and how Ofgem expects ISGs to report. We suggest Ofgem provides more guidance on the Chair’s Statement and ISG reports to be submitted with the BPs and for the ISG Responses to the Call for Evidence. This would lead to more consistency across the groups, which would help Ofgem more easily compare the reports and responses. We would welcome consultation (at least with the ISG Chairs) on any such draft guidance for ED3.  </w:t>
      </w:r>
    </w:p>
    <w:p w14:paraId="1035D052" w14:textId="53B53E65" w:rsidR="522A92B8" w:rsidRPr="0035307B" w:rsidRDefault="522A92B8" w:rsidP="6E4776B3">
      <w:pPr>
        <w:pStyle w:val="ListParagraph"/>
        <w:numPr>
          <w:ilvl w:val="0"/>
          <w:numId w:val="10"/>
        </w:numPr>
        <w:rPr>
          <w:rFonts w:ascii="Calibri" w:eastAsia="Calibri" w:hAnsi="Calibri" w:cs="Calibri"/>
          <w:sz w:val="22"/>
          <w:szCs w:val="22"/>
        </w:rPr>
      </w:pPr>
      <w:r w:rsidRPr="0035307B">
        <w:rPr>
          <w:rFonts w:ascii="Calibri" w:eastAsia="Calibri" w:hAnsi="Calibri" w:cs="Calibri"/>
          <w:sz w:val="22"/>
          <w:szCs w:val="22"/>
        </w:rPr>
        <w:t xml:space="preserve">Confirmation that Ofgem expects companies to evidence their stakeholder engagement and research and show how it has informed decisions and direction. This would be a useful addition to Ofgem’s requirement for a challenge log and would help improve consistency between the companies on the extent of challenge and </w:t>
      </w:r>
      <w:r w:rsidR="00F71F6D" w:rsidRPr="0035307B">
        <w:rPr>
          <w:rFonts w:ascii="Calibri" w:eastAsia="Calibri" w:hAnsi="Calibri" w:cs="Calibri"/>
          <w:sz w:val="22"/>
          <w:szCs w:val="22"/>
        </w:rPr>
        <w:t>information sharing</w:t>
      </w:r>
      <w:r w:rsidRPr="0035307B">
        <w:rPr>
          <w:rFonts w:ascii="Calibri" w:eastAsia="Calibri" w:hAnsi="Calibri" w:cs="Calibri"/>
          <w:sz w:val="22"/>
          <w:szCs w:val="22"/>
        </w:rPr>
        <w:t xml:space="preserve"> with their ISGs.  </w:t>
      </w:r>
    </w:p>
    <w:p w14:paraId="35A63001" w14:textId="24194A5A" w:rsidR="522A92B8" w:rsidRPr="0035307B" w:rsidRDefault="522A92B8" w:rsidP="6E4776B3">
      <w:pPr>
        <w:pStyle w:val="ListParagraph"/>
        <w:numPr>
          <w:ilvl w:val="0"/>
          <w:numId w:val="9"/>
        </w:numPr>
        <w:rPr>
          <w:rFonts w:ascii="Calibri" w:eastAsia="Calibri" w:hAnsi="Calibri" w:cs="Calibri"/>
          <w:sz w:val="22"/>
          <w:szCs w:val="22"/>
        </w:rPr>
      </w:pPr>
      <w:r w:rsidRPr="0035307B">
        <w:rPr>
          <w:rFonts w:ascii="Calibri" w:eastAsia="Calibri" w:hAnsi="Calibri" w:cs="Calibri"/>
          <w:sz w:val="22"/>
          <w:szCs w:val="22"/>
        </w:rPr>
        <w:t xml:space="preserve">It can take some time before the company and its ISG can build a relationship of mutual trust where the company’s teams welcome constructive challenge and we have observed that both the company and ISG benefit when the company ‘lets the ISG in’ to its thinking at an early stage where challenge can be effective. At the same time, the ISG must avoid ‘capture’ by the company and continue to bring fresh perspectives from evolving customer </w:t>
      </w:r>
      <w:r w:rsidRPr="0035307B">
        <w:rPr>
          <w:rFonts w:ascii="Calibri" w:eastAsia="Calibri" w:hAnsi="Calibri" w:cs="Calibri"/>
          <w:sz w:val="22"/>
          <w:szCs w:val="22"/>
        </w:rPr>
        <w:lastRenderedPageBreak/>
        <w:t xml:space="preserve">groups. We recommend that membership is kept under review, but changes are paced to maintain the ISG relationship with company counterparts. </w:t>
      </w:r>
    </w:p>
    <w:p w14:paraId="4E239F49" w14:textId="3BB721CD" w:rsidR="522A92B8" w:rsidRPr="0035307B" w:rsidRDefault="522A92B8" w:rsidP="6E4776B3">
      <w:pPr>
        <w:rPr>
          <w:sz w:val="22"/>
          <w:szCs w:val="22"/>
        </w:rPr>
      </w:pPr>
      <w:r w:rsidRPr="0035307B">
        <w:rPr>
          <w:rFonts w:ascii="Calibri" w:eastAsia="Calibri" w:hAnsi="Calibri" w:cs="Calibri"/>
          <w:sz w:val="22"/>
          <w:szCs w:val="22"/>
        </w:rPr>
        <w:t xml:space="preserve"> </w:t>
      </w:r>
    </w:p>
    <w:p w14:paraId="1D346AFD" w14:textId="24B5F4BB" w:rsidR="522A92B8" w:rsidRPr="0035307B" w:rsidRDefault="522A92B8" w:rsidP="6E4776B3">
      <w:pPr>
        <w:rPr>
          <w:b/>
          <w:bCs/>
          <w:sz w:val="22"/>
          <w:szCs w:val="22"/>
        </w:rPr>
      </w:pPr>
      <w:r w:rsidRPr="0035307B">
        <w:rPr>
          <w:rFonts w:ascii="Calibri" w:eastAsia="Calibri" w:hAnsi="Calibri" w:cs="Calibri"/>
          <w:b/>
          <w:bCs/>
          <w:sz w:val="22"/>
          <w:szCs w:val="22"/>
        </w:rPr>
        <w:t>Role of the Chairs’ group</w:t>
      </w:r>
    </w:p>
    <w:p w14:paraId="1200EB3A" w14:textId="22573084" w:rsidR="522A92B8" w:rsidRPr="0035307B" w:rsidRDefault="522A92B8" w:rsidP="6E4776B3">
      <w:pPr>
        <w:pStyle w:val="ListParagraph"/>
        <w:numPr>
          <w:ilvl w:val="0"/>
          <w:numId w:val="6"/>
        </w:numPr>
        <w:rPr>
          <w:rFonts w:ascii="Calibri" w:eastAsia="Calibri" w:hAnsi="Calibri" w:cs="Calibri"/>
          <w:sz w:val="22"/>
          <w:szCs w:val="22"/>
        </w:rPr>
      </w:pPr>
      <w:r w:rsidRPr="0035307B">
        <w:rPr>
          <w:rFonts w:ascii="Calibri" w:eastAsia="Calibri" w:hAnsi="Calibri" w:cs="Calibri"/>
          <w:sz w:val="22"/>
          <w:szCs w:val="22"/>
        </w:rPr>
        <w:t xml:space="preserve">The ISG Chair meetings created an opportunity for communication among the groups (not seen in previous BP planning cycles). </w:t>
      </w:r>
    </w:p>
    <w:p w14:paraId="33A4FDDB" w14:textId="531CC795" w:rsidR="522A92B8" w:rsidRPr="0035307B" w:rsidRDefault="522A92B8" w:rsidP="6E4776B3">
      <w:pPr>
        <w:pStyle w:val="ListParagraph"/>
        <w:numPr>
          <w:ilvl w:val="0"/>
          <w:numId w:val="6"/>
        </w:numPr>
        <w:rPr>
          <w:rFonts w:ascii="Calibri" w:eastAsia="Calibri" w:hAnsi="Calibri" w:cs="Calibri"/>
          <w:sz w:val="22"/>
          <w:szCs w:val="22"/>
        </w:rPr>
      </w:pPr>
      <w:r w:rsidRPr="0035307B">
        <w:rPr>
          <w:rFonts w:ascii="Calibri" w:eastAsia="Calibri" w:hAnsi="Calibri" w:cs="Calibri"/>
          <w:sz w:val="22"/>
          <w:szCs w:val="22"/>
        </w:rPr>
        <w:t>It also created a platform for Chairs to directly voice questions and concerns to Ofgem (e</w:t>
      </w:r>
      <w:r w:rsidR="00F26DFD">
        <w:rPr>
          <w:rFonts w:ascii="Calibri" w:eastAsia="Calibri" w:hAnsi="Calibri" w:cs="Calibri"/>
          <w:sz w:val="22"/>
          <w:szCs w:val="22"/>
        </w:rPr>
        <w:t>.</w:t>
      </w:r>
      <w:r w:rsidRPr="0035307B">
        <w:rPr>
          <w:rFonts w:ascii="Calibri" w:eastAsia="Calibri" w:hAnsi="Calibri" w:cs="Calibri"/>
          <w:sz w:val="22"/>
          <w:szCs w:val="22"/>
        </w:rPr>
        <w:t>g</w:t>
      </w:r>
      <w:r w:rsidR="00F26DFD">
        <w:rPr>
          <w:rFonts w:ascii="Calibri" w:eastAsia="Calibri" w:hAnsi="Calibri" w:cs="Calibri"/>
          <w:sz w:val="22"/>
          <w:szCs w:val="22"/>
        </w:rPr>
        <w:t>.</w:t>
      </w:r>
      <w:r w:rsidRPr="0035307B">
        <w:rPr>
          <w:rFonts w:ascii="Calibri" w:eastAsia="Calibri" w:hAnsi="Calibri" w:cs="Calibri"/>
          <w:sz w:val="22"/>
          <w:szCs w:val="22"/>
        </w:rPr>
        <w:t xml:space="preserve"> feedback on the draft BP Guidance, which </w:t>
      </w:r>
      <w:r w:rsidR="005B1B54">
        <w:rPr>
          <w:rFonts w:ascii="Calibri" w:eastAsia="Calibri" w:hAnsi="Calibri" w:cs="Calibri"/>
          <w:sz w:val="22"/>
          <w:szCs w:val="22"/>
        </w:rPr>
        <w:t xml:space="preserve">we believe </w:t>
      </w:r>
      <w:r w:rsidRPr="0035307B">
        <w:rPr>
          <w:rFonts w:ascii="Calibri" w:eastAsia="Calibri" w:hAnsi="Calibri" w:cs="Calibri"/>
          <w:sz w:val="22"/>
          <w:szCs w:val="22"/>
        </w:rPr>
        <w:t xml:space="preserve">led to better guidance). </w:t>
      </w:r>
      <w:r w:rsidR="005B1B54">
        <w:rPr>
          <w:rFonts w:ascii="Calibri" w:eastAsia="Calibri" w:hAnsi="Calibri" w:cs="Calibri"/>
          <w:sz w:val="22"/>
          <w:szCs w:val="22"/>
        </w:rPr>
        <w:t>We suggest that it would be beneficial for t</w:t>
      </w:r>
      <w:r w:rsidRPr="0035307B">
        <w:rPr>
          <w:rFonts w:ascii="Calibri" w:eastAsia="Calibri" w:hAnsi="Calibri" w:cs="Calibri"/>
          <w:sz w:val="22"/>
          <w:szCs w:val="22"/>
        </w:rPr>
        <w:t xml:space="preserve">he meetings </w:t>
      </w:r>
      <w:r w:rsidR="005B1B54">
        <w:rPr>
          <w:rFonts w:ascii="Calibri" w:eastAsia="Calibri" w:hAnsi="Calibri" w:cs="Calibri"/>
          <w:sz w:val="22"/>
          <w:szCs w:val="22"/>
        </w:rPr>
        <w:t>to</w:t>
      </w:r>
      <w:r w:rsidRPr="0035307B">
        <w:rPr>
          <w:rFonts w:ascii="Calibri" w:eastAsia="Calibri" w:hAnsi="Calibri" w:cs="Calibri"/>
          <w:sz w:val="22"/>
          <w:szCs w:val="22"/>
        </w:rPr>
        <w:t xml:space="preserve"> continue, as both regular Chair-only meetings and </w:t>
      </w:r>
      <w:r w:rsidR="00813B00">
        <w:rPr>
          <w:rFonts w:ascii="Calibri" w:eastAsia="Calibri" w:hAnsi="Calibri" w:cs="Calibri"/>
          <w:sz w:val="22"/>
          <w:szCs w:val="22"/>
        </w:rPr>
        <w:t>through</w:t>
      </w:r>
      <w:r w:rsidRPr="0035307B">
        <w:rPr>
          <w:rFonts w:ascii="Calibri" w:eastAsia="Calibri" w:hAnsi="Calibri" w:cs="Calibri"/>
          <w:sz w:val="22"/>
          <w:szCs w:val="22"/>
        </w:rPr>
        <w:t xml:space="preserve"> periodic meetings with Ofgem. The remit and agenda for the </w:t>
      </w:r>
      <w:r w:rsidR="005B1B54">
        <w:rPr>
          <w:rFonts w:ascii="Calibri" w:eastAsia="Calibri" w:hAnsi="Calibri" w:cs="Calibri"/>
          <w:sz w:val="22"/>
          <w:szCs w:val="22"/>
        </w:rPr>
        <w:t>C</w:t>
      </w:r>
      <w:r w:rsidRPr="0035307B">
        <w:rPr>
          <w:rFonts w:ascii="Calibri" w:eastAsia="Calibri" w:hAnsi="Calibri" w:cs="Calibri"/>
          <w:sz w:val="22"/>
          <w:szCs w:val="22"/>
        </w:rPr>
        <w:t>hairs’ meetings with Ofgem should be set out in advance.</w:t>
      </w:r>
    </w:p>
    <w:p w14:paraId="18805EF5" w14:textId="3D4AC31C" w:rsidR="522A92B8" w:rsidRPr="0035307B" w:rsidRDefault="522A92B8" w:rsidP="6E4776B3">
      <w:pPr>
        <w:pStyle w:val="ListParagraph"/>
        <w:numPr>
          <w:ilvl w:val="0"/>
          <w:numId w:val="6"/>
        </w:numPr>
        <w:rPr>
          <w:rFonts w:ascii="Calibri" w:eastAsia="Calibri" w:hAnsi="Calibri" w:cs="Calibri"/>
          <w:sz w:val="22"/>
          <w:szCs w:val="22"/>
        </w:rPr>
      </w:pPr>
      <w:r w:rsidRPr="0035307B">
        <w:rPr>
          <w:rFonts w:ascii="Calibri" w:eastAsia="Calibri" w:hAnsi="Calibri" w:cs="Calibri"/>
          <w:sz w:val="22"/>
          <w:szCs w:val="22"/>
        </w:rPr>
        <w:t xml:space="preserve">The Chair’s group could be replicated for common pillars of the ISGs’ activities, such as performance or sustainability groups. While the composition and ToRs of the ISGs are for companies to decide, meetings across the groups would encourage consistency of approach and sharing of best practice. </w:t>
      </w:r>
    </w:p>
    <w:p w14:paraId="0A9897D1" w14:textId="15495FFF" w:rsidR="00BE7CE6" w:rsidRPr="00AC2C1C" w:rsidRDefault="522A92B8" w:rsidP="00491639">
      <w:r w:rsidRPr="6E4776B3">
        <w:rPr>
          <w:rFonts w:ascii="Calibri" w:eastAsia="Calibri" w:hAnsi="Calibri" w:cs="Calibri"/>
        </w:rPr>
        <w:t xml:space="preserve"> </w:t>
      </w:r>
    </w:p>
    <w:p w14:paraId="32BE0FF2" w14:textId="133D566F" w:rsidR="00652C74" w:rsidRDefault="00652C74" w:rsidP="00ED3787">
      <w:pPr>
        <w:pStyle w:val="Heading1"/>
        <w:numPr>
          <w:ilvl w:val="0"/>
          <w:numId w:val="15"/>
        </w:numPr>
        <w:spacing w:after="240"/>
        <w:ind w:left="431" w:hanging="431"/>
      </w:pPr>
      <w:bookmarkStart w:id="2" w:name="_Toc206691364"/>
      <w:r>
        <w:t>Community Benefit Funding / Net Zero Fund</w:t>
      </w:r>
      <w:bookmarkEnd w:id="2"/>
    </w:p>
    <w:p w14:paraId="427D8345" w14:textId="1C5207E7" w:rsidR="00652C74" w:rsidRPr="00955737" w:rsidRDefault="00652C74" w:rsidP="00C54384">
      <w:pPr>
        <w:spacing w:after="120"/>
        <w:rPr>
          <w:rFonts w:cstheme="minorHAnsi"/>
          <w:b/>
          <w:bCs/>
          <w:sz w:val="22"/>
          <w:szCs w:val="22"/>
        </w:rPr>
      </w:pPr>
      <w:r w:rsidRPr="00955737">
        <w:rPr>
          <w:rFonts w:cstheme="minorHAnsi"/>
          <w:b/>
          <w:bCs/>
          <w:sz w:val="22"/>
          <w:szCs w:val="22"/>
        </w:rPr>
        <w:t>Question ETQ 8 - Do you agree with our proposed design of the Community Benefit Funding pass-through mechanism?</w:t>
      </w:r>
    </w:p>
    <w:p w14:paraId="56720BFF" w14:textId="77777777" w:rsidR="00C8128A" w:rsidRDefault="00C8128A" w:rsidP="00C8128A">
      <w:pPr>
        <w:rPr>
          <w:sz w:val="22"/>
          <w:szCs w:val="22"/>
        </w:rPr>
      </w:pPr>
      <w:r w:rsidRPr="00C8128A">
        <w:rPr>
          <w:sz w:val="22"/>
          <w:szCs w:val="22"/>
        </w:rPr>
        <w:t xml:space="preserve">We support the creation of the Community Benefit Funding pass-through mechanism, but we believe that the costs for feasibility studies and capacity building should not be included in the 10% cap on delivery costs. </w:t>
      </w:r>
    </w:p>
    <w:p w14:paraId="522BC3C5" w14:textId="77777777" w:rsidR="00C8128A" w:rsidRPr="00C8128A" w:rsidRDefault="00C8128A" w:rsidP="00C8128A">
      <w:pPr>
        <w:rPr>
          <w:sz w:val="22"/>
          <w:szCs w:val="22"/>
        </w:rPr>
      </w:pPr>
    </w:p>
    <w:p w14:paraId="70432AD2" w14:textId="3E8DEAA4" w:rsidR="00C8128A" w:rsidRDefault="00C8128A" w:rsidP="00C8128A">
      <w:pPr>
        <w:rPr>
          <w:sz w:val="22"/>
          <w:szCs w:val="22"/>
        </w:rPr>
      </w:pPr>
      <w:r w:rsidRPr="00C8128A">
        <w:rPr>
          <w:sz w:val="22"/>
          <w:szCs w:val="22"/>
        </w:rPr>
        <w:t xml:space="preserve">New Electricity Transmission infrastructure is already proving controversial in some communities. It is therefore especially important that Community Benefit Funding provides projects that communities view as genuinely beneficial. Funding projects that are proposed by communities themselves can make an important contribution here. However, individual communities are not necessarily experienced in developing appropriately specified and costed proposals. </w:t>
      </w:r>
      <w:r w:rsidR="00A16588">
        <w:rPr>
          <w:sz w:val="22"/>
          <w:szCs w:val="22"/>
        </w:rPr>
        <w:t>In our view</w:t>
      </w:r>
      <w:r w:rsidR="00D941D0">
        <w:rPr>
          <w:sz w:val="22"/>
          <w:szCs w:val="22"/>
        </w:rPr>
        <w:t>, this lack of experience</w:t>
      </w:r>
      <w:r w:rsidR="00A16588">
        <w:rPr>
          <w:sz w:val="22"/>
          <w:szCs w:val="22"/>
        </w:rPr>
        <w:t xml:space="preserve"> </w:t>
      </w:r>
      <w:r w:rsidR="00D941D0">
        <w:rPr>
          <w:sz w:val="22"/>
          <w:szCs w:val="22"/>
        </w:rPr>
        <w:t>could</w:t>
      </w:r>
      <w:r w:rsidRPr="00C8128A">
        <w:rPr>
          <w:sz w:val="22"/>
          <w:szCs w:val="22"/>
        </w:rPr>
        <w:t xml:space="preserve"> leave beneficial projects that</w:t>
      </w:r>
      <w:r w:rsidR="00A16588">
        <w:rPr>
          <w:sz w:val="22"/>
          <w:szCs w:val="22"/>
        </w:rPr>
        <w:t xml:space="preserve"> </w:t>
      </w:r>
      <w:r w:rsidRPr="00C8128A">
        <w:rPr>
          <w:sz w:val="22"/>
          <w:szCs w:val="22"/>
        </w:rPr>
        <w:t>communit</w:t>
      </w:r>
      <w:r w:rsidR="00A16588">
        <w:rPr>
          <w:sz w:val="22"/>
          <w:szCs w:val="22"/>
        </w:rPr>
        <w:t>ies</w:t>
      </w:r>
      <w:r w:rsidRPr="00C8128A">
        <w:rPr>
          <w:sz w:val="22"/>
          <w:szCs w:val="22"/>
        </w:rPr>
        <w:t xml:space="preserve"> value at risk of going unfunded, particularly in more disadvantaged communities where there are likely to be lower levels of capacity and capability when it comes to the specialist skills needed to develop proposals to the required standard. </w:t>
      </w:r>
    </w:p>
    <w:p w14:paraId="13F984F0" w14:textId="77777777" w:rsidR="00C8128A" w:rsidRPr="00C8128A" w:rsidRDefault="00C8128A" w:rsidP="00C8128A">
      <w:pPr>
        <w:rPr>
          <w:sz w:val="22"/>
          <w:szCs w:val="22"/>
        </w:rPr>
      </w:pPr>
    </w:p>
    <w:p w14:paraId="5BCEBDC9" w14:textId="47E479A3" w:rsidR="007E12D6" w:rsidRDefault="00C8128A" w:rsidP="007E12D6">
      <w:pPr>
        <w:rPr>
          <w:sz w:val="22"/>
          <w:szCs w:val="22"/>
        </w:rPr>
      </w:pPr>
      <w:r w:rsidRPr="00C8128A">
        <w:rPr>
          <w:sz w:val="22"/>
          <w:szCs w:val="22"/>
        </w:rPr>
        <w:t xml:space="preserve">Feasibility studies can bridge the gap from the original idea to well specified proposal but they are not merely an ‘administration’ task and so not a straightforward step on the administrative delivery pathway. Projects may need to be rescoped, further evidence gathered or the project may prove unsuitable. We urge Ofgem to carefully consider the evidence that SPEN has provided from the T2 Net Zero </w:t>
      </w:r>
      <w:r w:rsidR="007221B4" w:rsidRPr="007221B4">
        <w:rPr>
          <w:sz w:val="22"/>
          <w:szCs w:val="22"/>
        </w:rPr>
        <w:t>Fund</w:t>
      </w:r>
      <w:r w:rsidR="00D8693C">
        <w:rPr>
          <w:rStyle w:val="FootnoteReference"/>
          <w:sz w:val="22"/>
          <w:szCs w:val="22"/>
        </w:rPr>
        <w:footnoteReference w:id="2"/>
      </w:r>
      <w:r w:rsidR="007221B4" w:rsidRPr="007221B4">
        <w:rPr>
          <w:sz w:val="22"/>
          <w:szCs w:val="22"/>
        </w:rPr>
        <w:t xml:space="preserve"> </w:t>
      </w:r>
      <w:r w:rsidR="007E12D6" w:rsidRPr="007E12D6">
        <w:rPr>
          <w:sz w:val="22"/>
          <w:szCs w:val="22"/>
        </w:rPr>
        <w:t xml:space="preserve">regarding the difference that feasibility studies can make to turning ideas into deliverable projects that communities value, and </w:t>
      </w:r>
      <w:r w:rsidR="007E12D6" w:rsidRPr="00DC7466">
        <w:rPr>
          <w:sz w:val="22"/>
          <w:szCs w:val="22"/>
        </w:rPr>
        <w:t>remove this cost from the administration cost</w:t>
      </w:r>
      <w:r w:rsidR="00DC7466">
        <w:rPr>
          <w:sz w:val="22"/>
          <w:szCs w:val="22"/>
        </w:rPr>
        <w:t xml:space="preserve"> cap</w:t>
      </w:r>
      <w:r w:rsidR="007E12D6" w:rsidRPr="007E12D6">
        <w:rPr>
          <w:sz w:val="22"/>
          <w:szCs w:val="22"/>
        </w:rPr>
        <w:t>. A cap on feasibility study costs could be applied separately, with submission of fully justified costs to Ofgem required. Noting here for the avoidance of doubt that we support Ofgem’s ongoing challenge to companies regarding value for money and evidence that costs are efficient in all areas.</w:t>
      </w:r>
    </w:p>
    <w:p w14:paraId="67EAEAAC" w14:textId="77777777" w:rsidR="007E12D6" w:rsidRPr="007E12D6" w:rsidRDefault="007E12D6" w:rsidP="007E12D6">
      <w:pPr>
        <w:rPr>
          <w:sz w:val="22"/>
          <w:szCs w:val="22"/>
        </w:rPr>
      </w:pPr>
    </w:p>
    <w:p w14:paraId="0D3BDE7B" w14:textId="2553BFD5" w:rsidR="00AD282B" w:rsidRDefault="007E12D6" w:rsidP="007E12D6">
      <w:pPr>
        <w:rPr>
          <w:sz w:val="22"/>
          <w:szCs w:val="22"/>
        </w:rPr>
      </w:pPr>
      <w:r w:rsidRPr="007E12D6">
        <w:rPr>
          <w:sz w:val="22"/>
          <w:szCs w:val="22"/>
        </w:rPr>
        <w:lastRenderedPageBreak/>
        <w:t>It is easy to overlook the important role that Capacity Building can play in empowering and enabling individual communities to understand the potential of Community Benefit Funding, identify projects that will deliver real benefits to the community and develop well-specified proposals that can move swiftly to the delivery phase once approved. Capacity Building has a particularly important role in disadvantaged communities, who may have more difficulties accessing the full potential of the Community Benefit Funding. However, these communities are likely to need a more bespoke and proactive approach to Capacity Building than cheaper one-size-fits-all materials if they are to make the most of the Community Benefit Funding opportunity. We therefore urge Ofgem to consider the case for removing this cost from the administration costs, potentially applying a separate cap on Capacity Building costs</w:t>
      </w:r>
      <w:r w:rsidR="007221B4" w:rsidRPr="007221B4">
        <w:rPr>
          <w:sz w:val="22"/>
          <w:szCs w:val="22"/>
        </w:rPr>
        <w:t>.</w:t>
      </w:r>
    </w:p>
    <w:p w14:paraId="02FB2F21" w14:textId="77777777" w:rsidR="007221B4" w:rsidRPr="00955737" w:rsidRDefault="007221B4" w:rsidP="007221B4">
      <w:pPr>
        <w:rPr>
          <w:sz w:val="22"/>
          <w:szCs w:val="22"/>
        </w:rPr>
      </w:pPr>
    </w:p>
    <w:p w14:paraId="0256A305" w14:textId="462BD56F" w:rsidR="00652C74" w:rsidRPr="00955737" w:rsidRDefault="00652C74" w:rsidP="00C54384">
      <w:pPr>
        <w:spacing w:after="120"/>
        <w:rPr>
          <w:rFonts w:cstheme="minorHAnsi"/>
          <w:b/>
          <w:bCs/>
          <w:sz w:val="22"/>
          <w:szCs w:val="22"/>
        </w:rPr>
      </w:pPr>
      <w:r w:rsidRPr="00955737">
        <w:rPr>
          <w:rFonts w:cstheme="minorHAnsi"/>
          <w:b/>
          <w:bCs/>
          <w:sz w:val="22"/>
          <w:szCs w:val="22"/>
        </w:rPr>
        <w:t>Question SPTQ 1 - Do you agree with our proposal to retain the Net Zero Fund UIOLI for SPT, and with our proposed parameters for it?</w:t>
      </w:r>
    </w:p>
    <w:p w14:paraId="0E7D3CD3" w14:textId="1B24D6DA" w:rsidR="00AF7805" w:rsidRDefault="00AF7805" w:rsidP="00AF7805">
      <w:pPr>
        <w:rPr>
          <w:sz w:val="22"/>
          <w:szCs w:val="22"/>
        </w:rPr>
      </w:pPr>
      <w:r w:rsidRPr="00AF7805">
        <w:rPr>
          <w:sz w:val="22"/>
          <w:szCs w:val="22"/>
        </w:rPr>
        <w:t xml:space="preserve">While we agree with retaining the Net Zero Fund for SPT, the proposed parameters appear to be in conflict. We understand that Ofgem requires SPEN to submit social return on investment (SROI) benefits from delivered projects. However, if SPEN’s role is limited to only conducting net zero workshops and to provide project planning and feasibility support to community groups, </w:t>
      </w:r>
      <w:r w:rsidR="00A16588">
        <w:rPr>
          <w:sz w:val="22"/>
          <w:szCs w:val="22"/>
        </w:rPr>
        <w:t>then it is, in many cases,</w:t>
      </w:r>
      <w:r w:rsidRPr="00AF7805">
        <w:rPr>
          <w:sz w:val="22"/>
          <w:szCs w:val="22"/>
        </w:rPr>
        <w:t xml:space="preserve"> unlikely to be practical </w:t>
      </w:r>
      <w:r w:rsidR="00A16588">
        <w:rPr>
          <w:sz w:val="22"/>
          <w:szCs w:val="22"/>
        </w:rPr>
        <w:t>for SPEN to calculate SROI benefits</w:t>
      </w:r>
      <w:r w:rsidRPr="00AF7805">
        <w:rPr>
          <w:sz w:val="22"/>
          <w:szCs w:val="22"/>
        </w:rPr>
        <w:t xml:space="preserve">. Workshops, project planning and feasibility support cannot guarantee funding from other sources nor delivery </w:t>
      </w:r>
      <w:r w:rsidR="00A16588">
        <w:rPr>
          <w:sz w:val="22"/>
          <w:szCs w:val="22"/>
        </w:rPr>
        <w:t xml:space="preserve">of a project </w:t>
      </w:r>
      <w:r w:rsidRPr="00AF7805">
        <w:rPr>
          <w:sz w:val="22"/>
          <w:szCs w:val="22"/>
        </w:rPr>
        <w:t xml:space="preserve">within a specific timeframe </w:t>
      </w:r>
      <w:r w:rsidR="00A16588">
        <w:rPr>
          <w:sz w:val="22"/>
          <w:szCs w:val="22"/>
        </w:rPr>
        <w:t>(</w:t>
      </w:r>
      <w:r w:rsidRPr="00AF7805">
        <w:rPr>
          <w:sz w:val="22"/>
          <w:szCs w:val="22"/>
        </w:rPr>
        <w:t>even if a project is commissioned</w:t>
      </w:r>
      <w:r w:rsidR="00A16588">
        <w:rPr>
          <w:sz w:val="22"/>
          <w:szCs w:val="22"/>
        </w:rPr>
        <w:t>).</w:t>
      </w:r>
      <w:r w:rsidRPr="00AF7805">
        <w:rPr>
          <w:sz w:val="22"/>
          <w:szCs w:val="22"/>
        </w:rPr>
        <w:t xml:space="preserve"> </w:t>
      </w:r>
      <w:r w:rsidR="00A16588">
        <w:rPr>
          <w:sz w:val="22"/>
          <w:szCs w:val="22"/>
        </w:rPr>
        <w:t>W</w:t>
      </w:r>
      <w:r w:rsidRPr="00AF7805">
        <w:rPr>
          <w:sz w:val="22"/>
          <w:szCs w:val="22"/>
        </w:rPr>
        <w:t xml:space="preserve">e understand </w:t>
      </w:r>
      <w:r w:rsidR="00A16588">
        <w:rPr>
          <w:sz w:val="22"/>
          <w:szCs w:val="22"/>
        </w:rPr>
        <w:t xml:space="preserve">it </w:t>
      </w:r>
      <w:r w:rsidRPr="00AF7805">
        <w:rPr>
          <w:sz w:val="22"/>
          <w:szCs w:val="22"/>
        </w:rPr>
        <w:t>can be difficult for community groups to achieve</w:t>
      </w:r>
      <w:r w:rsidR="00F205A1">
        <w:rPr>
          <w:sz w:val="22"/>
          <w:szCs w:val="22"/>
        </w:rPr>
        <w:t xml:space="preserve"> funding from other sources and get programmes off of the ground</w:t>
      </w:r>
      <w:r w:rsidRPr="00AF7805">
        <w:rPr>
          <w:sz w:val="22"/>
          <w:szCs w:val="22"/>
        </w:rPr>
        <w:t>. In addition, SROI benefit from these early-stage activities is difficult to measure, and estimated SROI benefit at the feasibility stage may differ from what is achieved in practice.</w:t>
      </w:r>
    </w:p>
    <w:p w14:paraId="4BDC29F9" w14:textId="77777777" w:rsidR="00AF7805" w:rsidRPr="00AF7805" w:rsidRDefault="00AF7805" w:rsidP="00AF7805">
      <w:pPr>
        <w:rPr>
          <w:sz w:val="22"/>
          <w:szCs w:val="22"/>
        </w:rPr>
      </w:pPr>
    </w:p>
    <w:p w14:paraId="76EBE6C8" w14:textId="2D901748" w:rsidR="00E25029" w:rsidRPr="00E25029" w:rsidRDefault="00AF7805" w:rsidP="00E25029">
      <w:pPr>
        <w:rPr>
          <w:sz w:val="22"/>
          <w:szCs w:val="22"/>
        </w:rPr>
      </w:pPr>
      <w:r w:rsidRPr="00AF7805">
        <w:rPr>
          <w:sz w:val="22"/>
          <w:szCs w:val="22"/>
        </w:rPr>
        <w:t xml:space="preserve">SPEN has a track record of successfully funding relevant projects directly, as demonstrated by the T1 Green Economy Fund and the T2 Net Zero Fund, both of which have delivered tangible impact in terms of carbon savings and SROI. There are real benefits for both communities and the wider Energy sector from </w:t>
      </w:r>
      <w:r w:rsidR="00E25029">
        <w:rPr>
          <w:sz w:val="22"/>
          <w:szCs w:val="22"/>
        </w:rPr>
        <w:t xml:space="preserve">developing this evidence base further </w:t>
      </w:r>
      <w:r w:rsidRPr="00AF7805">
        <w:rPr>
          <w:sz w:val="22"/>
          <w:szCs w:val="22"/>
        </w:rPr>
        <w:t>at this relatively early stage of the Energy Transition. We therefore urge Ofgem to allow SPEN to directly fund projects via the T3 Net Zero Fund, in addition to conducting workshops, project planning and feasibility support</w:t>
      </w:r>
      <w:r w:rsidR="00F205A1">
        <w:rPr>
          <w:sz w:val="22"/>
          <w:szCs w:val="22"/>
        </w:rPr>
        <w:t>. We believe that this would</w:t>
      </w:r>
      <w:r w:rsidRPr="00AF7805">
        <w:rPr>
          <w:sz w:val="22"/>
          <w:szCs w:val="22"/>
        </w:rPr>
        <w:t xml:space="preserve"> ensure that beneficial projects for communities are delivered and the evidence base of ‘what works and how’ is increased.</w:t>
      </w:r>
      <w:r>
        <w:rPr>
          <w:sz w:val="22"/>
          <w:szCs w:val="22"/>
        </w:rPr>
        <w:t xml:space="preserve"> </w:t>
      </w:r>
    </w:p>
    <w:p w14:paraId="37FFD0AC" w14:textId="77777777" w:rsidR="00AF7805" w:rsidRPr="00AF7805" w:rsidRDefault="00AF7805" w:rsidP="00AF7805">
      <w:pPr>
        <w:rPr>
          <w:sz w:val="22"/>
          <w:szCs w:val="22"/>
        </w:rPr>
      </w:pPr>
    </w:p>
    <w:p w14:paraId="6CBC843D" w14:textId="3A1F8D10" w:rsidR="00BE7CE6" w:rsidRDefault="00AF7805" w:rsidP="00AF7805">
      <w:pPr>
        <w:rPr>
          <w:sz w:val="22"/>
          <w:szCs w:val="22"/>
        </w:rPr>
      </w:pPr>
      <w:r w:rsidRPr="00AF7805">
        <w:rPr>
          <w:sz w:val="22"/>
          <w:szCs w:val="22"/>
        </w:rPr>
        <w:t xml:space="preserve">However, if Ofgem do restrict the scope as per the Draft Determinations, </w:t>
      </w:r>
      <w:r w:rsidR="00F205A1">
        <w:rPr>
          <w:sz w:val="22"/>
          <w:szCs w:val="22"/>
        </w:rPr>
        <w:t xml:space="preserve">we believe that </w:t>
      </w:r>
      <w:r w:rsidRPr="00AF7805">
        <w:rPr>
          <w:sz w:val="22"/>
          <w:szCs w:val="22"/>
        </w:rPr>
        <w:t>clear guidance from Ofgem will be needed regarding the elements of a project for which SPEN should provide SROI figures, and at what stage(s). The guidance should acknowledge that not all projects where SPEN funds feasibility studies will necessarily achieve delivery funding from other bodies. It should also acknowledge and address the risk of inadvertent double counting of any SROI calculations for delivered projects that originated from an ET3-funded feasibility study i.e. that calculations by both SPEN and the delivery funding body for the same project are included in official figures</w:t>
      </w:r>
      <w:r w:rsidR="0022770C" w:rsidRPr="0022770C">
        <w:rPr>
          <w:sz w:val="22"/>
          <w:szCs w:val="22"/>
        </w:rPr>
        <w:t>.</w:t>
      </w:r>
    </w:p>
    <w:p w14:paraId="3793BA1A" w14:textId="77777777" w:rsidR="0022770C" w:rsidRPr="00652C74" w:rsidRDefault="0022770C" w:rsidP="0022770C"/>
    <w:p w14:paraId="27B1A360" w14:textId="21862820" w:rsidR="00652C74" w:rsidRDefault="00652C74" w:rsidP="00ED3787">
      <w:pPr>
        <w:pStyle w:val="Heading1"/>
        <w:numPr>
          <w:ilvl w:val="0"/>
          <w:numId w:val="15"/>
        </w:numPr>
        <w:spacing w:after="240"/>
        <w:ind w:left="431" w:hanging="431"/>
      </w:pPr>
      <w:bookmarkStart w:id="3" w:name="_Toc206691365"/>
      <w:r>
        <w:t>Cyber</w:t>
      </w:r>
      <w:bookmarkEnd w:id="3"/>
    </w:p>
    <w:p w14:paraId="4D729FBD" w14:textId="3C5F48CF" w:rsidR="00652C74" w:rsidRPr="00955737" w:rsidRDefault="00652C74" w:rsidP="00652C74">
      <w:pPr>
        <w:spacing w:after="120"/>
        <w:rPr>
          <w:rFonts w:cstheme="minorHAnsi"/>
          <w:b/>
          <w:bCs/>
          <w:sz w:val="22"/>
          <w:szCs w:val="22"/>
        </w:rPr>
      </w:pPr>
      <w:r w:rsidRPr="00955737">
        <w:rPr>
          <w:rFonts w:cstheme="minorHAnsi"/>
          <w:b/>
          <w:bCs/>
          <w:sz w:val="22"/>
          <w:szCs w:val="22"/>
        </w:rPr>
        <w:t>Question OVQ 35 - Do you agree with our proposals for the Cyber Resilience re-opener?</w:t>
      </w:r>
    </w:p>
    <w:p w14:paraId="685E0C56" w14:textId="625B1F1C" w:rsidR="00652C74" w:rsidRDefault="00652C74" w:rsidP="00652C74">
      <w:pPr>
        <w:rPr>
          <w:sz w:val="22"/>
          <w:szCs w:val="22"/>
        </w:rPr>
      </w:pPr>
      <w:r w:rsidRPr="00955737">
        <w:rPr>
          <w:sz w:val="22"/>
          <w:szCs w:val="22"/>
        </w:rPr>
        <w:t xml:space="preserve">Given the commitment to continuous threat analysis, </w:t>
      </w:r>
      <w:r w:rsidR="00F205A1">
        <w:rPr>
          <w:sz w:val="22"/>
          <w:szCs w:val="22"/>
        </w:rPr>
        <w:t>we</w:t>
      </w:r>
      <w:r w:rsidRPr="00955737">
        <w:rPr>
          <w:sz w:val="22"/>
          <w:szCs w:val="22"/>
        </w:rPr>
        <w:t xml:space="preserve"> believe</w:t>
      </w:r>
      <w:r w:rsidR="00F205A1">
        <w:rPr>
          <w:sz w:val="22"/>
          <w:szCs w:val="22"/>
        </w:rPr>
        <w:t xml:space="preserve"> that</w:t>
      </w:r>
      <w:r w:rsidRPr="00955737">
        <w:rPr>
          <w:sz w:val="22"/>
          <w:szCs w:val="22"/>
        </w:rPr>
        <w:t xml:space="preserve"> the flexibility this</w:t>
      </w:r>
      <w:r w:rsidR="00F205A1">
        <w:rPr>
          <w:sz w:val="22"/>
          <w:szCs w:val="22"/>
        </w:rPr>
        <w:t xml:space="preserve"> re-opener</w:t>
      </w:r>
      <w:r w:rsidRPr="00955737">
        <w:rPr>
          <w:sz w:val="22"/>
          <w:szCs w:val="22"/>
        </w:rPr>
        <w:t xml:space="preserve"> offers</w:t>
      </w:r>
      <w:r w:rsidR="00F205A1">
        <w:rPr>
          <w:sz w:val="22"/>
          <w:szCs w:val="22"/>
        </w:rPr>
        <w:t xml:space="preserve"> should</w:t>
      </w:r>
      <w:r w:rsidRPr="00955737">
        <w:rPr>
          <w:sz w:val="22"/>
          <w:szCs w:val="22"/>
        </w:rPr>
        <w:t xml:space="preserve"> allow the network operators to be responsive. </w:t>
      </w:r>
      <w:r w:rsidR="00F205A1">
        <w:rPr>
          <w:sz w:val="22"/>
          <w:szCs w:val="22"/>
        </w:rPr>
        <w:t>I</w:t>
      </w:r>
      <w:r w:rsidRPr="00955737">
        <w:rPr>
          <w:sz w:val="22"/>
          <w:szCs w:val="22"/>
        </w:rPr>
        <w:t>n the inter</w:t>
      </w:r>
      <w:r w:rsidR="00F205A1">
        <w:rPr>
          <w:sz w:val="22"/>
          <w:szCs w:val="22"/>
        </w:rPr>
        <w:t>i</w:t>
      </w:r>
      <w:r w:rsidRPr="00955737">
        <w:rPr>
          <w:sz w:val="22"/>
          <w:szCs w:val="22"/>
        </w:rPr>
        <w:t>m</w:t>
      </w:r>
      <w:r w:rsidR="00F205A1">
        <w:rPr>
          <w:sz w:val="22"/>
          <w:szCs w:val="22"/>
        </w:rPr>
        <w:t xml:space="preserve"> we would propose that Ofgem works with the networks</w:t>
      </w:r>
      <w:r w:rsidRPr="00955737">
        <w:rPr>
          <w:sz w:val="22"/>
          <w:szCs w:val="22"/>
        </w:rPr>
        <w:t xml:space="preserve"> </w:t>
      </w:r>
      <w:r w:rsidR="00F205A1">
        <w:rPr>
          <w:sz w:val="22"/>
          <w:szCs w:val="22"/>
        </w:rPr>
        <w:t xml:space="preserve">to </w:t>
      </w:r>
      <w:r w:rsidRPr="00955737">
        <w:rPr>
          <w:sz w:val="22"/>
          <w:szCs w:val="22"/>
        </w:rPr>
        <w:t>build more common best practice across regulatory compliance in cybersecurity practice and readiness.</w:t>
      </w:r>
    </w:p>
    <w:p w14:paraId="7640C336" w14:textId="77777777" w:rsidR="00F205A1" w:rsidRPr="00955737" w:rsidRDefault="00F205A1" w:rsidP="00652C74">
      <w:pPr>
        <w:rPr>
          <w:sz w:val="22"/>
          <w:szCs w:val="22"/>
        </w:rPr>
      </w:pPr>
    </w:p>
    <w:p w14:paraId="5DE4FE39" w14:textId="77777777" w:rsidR="00BE7CE6" w:rsidRPr="00652C74" w:rsidRDefault="00BE7CE6" w:rsidP="00652C74"/>
    <w:p w14:paraId="3FF3A1AD" w14:textId="42509003" w:rsidR="00491639" w:rsidRDefault="00491639" w:rsidP="00ED3787">
      <w:pPr>
        <w:pStyle w:val="Heading1"/>
        <w:numPr>
          <w:ilvl w:val="0"/>
          <w:numId w:val="15"/>
        </w:numPr>
        <w:spacing w:after="240"/>
        <w:ind w:left="431" w:hanging="431"/>
      </w:pPr>
      <w:bookmarkStart w:id="4" w:name="_Toc206691366"/>
      <w:r w:rsidRPr="00491639">
        <w:t>Digitalisation</w:t>
      </w:r>
      <w:r w:rsidR="00652C74">
        <w:t xml:space="preserve">, </w:t>
      </w:r>
      <w:r w:rsidRPr="00491639">
        <w:t>Data &amp; Innovation</w:t>
      </w:r>
      <w:bookmarkEnd w:id="4"/>
    </w:p>
    <w:p w14:paraId="7031570A" w14:textId="77777777" w:rsidR="00491639" w:rsidRPr="00955737" w:rsidRDefault="00491639" w:rsidP="00491639">
      <w:pPr>
        <w:spacing w:after="120"/>
        <w:rPr>
          <w:rFonts w:cstheme="minorHAnsi"/>
          <w:b/>
          <w:bCs/>
          <w:sz w:val="22"/>
          <w:szCs w:val="22"/>
        </w:rPr>
      </w:pPr>
      <w:r w:rsidRPr="00955737">
        <w:rPr>
          <w:rFonts w:cstheme="minorHAnsi"/>
          <w:b/>
          <w:bCs/>
          <w:sz w:val="22"/>
          <w:szCs w:val="22"/>
        </w:rPr>
        <w:t>Question OVQ 20 - Do you agree with our proposed NIA funding levels?</w:t>
      </w:r>
      <w:r w:rsidRPr="00955737">
        <w:rPr>
          <w:rFonts w:cstheme="minorHAnsi"/>
          <w:b/>
          <w:bCs/>
          <w:sz w:val="22"/>
          <w:szCs w:val="22"/>
        </w:rPr>
        <w:tab/>
      </w:r>
    </w:p>
    <w:p w14:paraId="541CDBB9" w14:textId="3FAEB65A" w:rsidR="00491639" w:rsidRPr="00955737" w:rsidRDefault="00491639" w:rsidP="00491639">
      <w:pPr>
        <w:rPr>
          <w:rFonts w:cstheme="minorHAnsi"/>
          <w:sz w:val="22"/>
          <w:szCs w:val="22"/>
        </w:rPr>
      </w:pPr>
      <w:r w:rsidRPr="00955737">
        <w:rPr>
          <w:rFonts w:cstheme="minorHAnsi"/>
          <w:sz w:val="22"/>
          <w:szCs w:val="22"/>
        </w:rPr>
        <w:t xml:space="preserve">There is a need to both couple </w:t>
      </w:r>
      <w:r w:rsidR="00652C74" w:rsidRPr="00955737">
        <w:rPr>
          <w:rFonts w:cstheme="minorHAnsi"/>
          <w:sz w:val="22"/>
          <w:szCs w:val="22"/>
        </w:rPr>
        <w:t>accelerated</w:t>
      </w:r>
      <w:r w:rsidRPr="00955737">
        <w:rPr>
          <w:rFonts w:cstheme="minorHAnsi"/>
          <w:sz w:val="22"/>
          <w:szCs w:val="22"/>
        </w:rPr>
        <w:t xml:space="preserve"> impact from Innovation, and in parallel</w:t>
      </w:r>
      <w:r w:rsidR="00033DB3">
        <w:rPr>
          <w:rFonts w:cstheme="minorHAnsi"/>
          <w:sz w:val="22"/>
          <w:szCs w:val="22"/>
        </w:rPr>
        <w:t>,</w:t>
      </w:r>
      <w:r w:rsidRPr="00955737">
        <w:rPr>
          <w:rFonts w:cstheme="minorHAnsi"/>
          <w:sz w:val="22"/>
          <w:szCs w:val="22"/>
        </w:rPr>
        <w:t xml:space="preserve"> to build capacity, capability and new trusted supply chains for the current and future needs of the company. </w:t>
      </w:r>
      <w:r w:rsidR="00652C74" w:rsidRPr="00955737">
        <w:rPr>
          <w:rFonts w:cstheme="minorHAnsi"/>
          <w:sz w:val="22"/>
          <w:szCs w:val="22"/>
        </w:rPr>
        <w:t>We</w:t>
      </w:r>
      <w:r w:rsidRPr="00955737">
        <w:rPr>
          <w:rFonts w:cstheme="minorHAnsi"/>
          <w:sz w:val="22"/>
          <w:szCs w:val="22"/>
        </w:rPr>
        <w:t xml:space="preserve"> do not believe this budget allocation is sufficient as to deliver the speed/rate of new technologies, and to compete with parallel market interests in similar emergent technologies. </w:t>
      </w:r>
    </w:p>
    <w:p w14:paraId="16691027" w14:textId="77777777" w:rsidR="00491639" w:rsidRPr="00955737" w:rsidRDefault="00491639" w:rsidP="00491639">
      <w:pPr>
        <w:rPr>
          <w:rFonts w:cstheme="minorHAnsi"/>
          <w:sz w:val="22"/>
          <w:szCs w:val="22"/>
        </w:rPr>
      </w:pPr>
    </w:p>
    <w:p w14:paraId="0333083E" w14:textId="77777777" w:rsidR="00491639" w:rsidRPr="00955737" w:rsidRDefault="00491639" w:rsidP="007D7D69">
      <w:pPr>
        <w:keepNext/>
        <w:keepLines/>
        <w:spacing w:after="120"/>
        <w:rPr>
          <w:rFonts w:cstheme="minorHAnsi"/>
          <w:b/>
          <w:bCs/>
          <w:sz w:val="22"/>
          <w:szCs w:val="22"/>
        </w:rPr>
      </w:pPr>
      <w:r w:rsidRPr="00955737">
        <w:rPr>
          <w:rFonts w:cstheme="minorHAnsi"/>
          <w:b/>
          <w:bCs/>
          <w:sz w:val="22"/>
          <w:szCs w:val="22"/>
        </w:rPr>
        <w:t>Question OVQ 22 - Do you agree that £2.5m of additional NIA should be used to provide enhanced advisory services for innovators at the early stages of innovation development?</w:t>
      </w:r>
    </w:p>
    <w:p w14:paraId="07E8EA6D" w14:textId="2B48A79A" w:rsidR="00D941D0" w:rsidRPr="00D941D0" w:rsidRDefault="00491639" w:rsidP="003D20E4">
      <w:pPr>
        <w:keepNext/>
        <w:keepLines/>
        <w:rPr>
          <w:rFonts w:ascii="Helvetica" w:hAnsi="Helvetica" w:cs="Times New Roman"/>
          <w:color w:val="555555"/>
          <w:sz w:val="21"/>
          <w:szCs w:val="21"/>
        </w:rPr>
      </w:pPr>
      <w:r w:rsidRPr="006F6335">
        <w:rPr>
          <w:rFonts w:cstheme="minorHAnsi"/>
          <w:sz w:val="22"/>
          <w:szCs w:val="22"/>
        </w:rPr>
        <w:t>No. The structures of NIA funding and projects</w:t>
      </w:r>
      <w:r w:rsidR="00D941D0" w:rsidRPr="006F6335">
        <w:rPr>
          <w:rFonts w:cstheme="minorHAnsi"/>
          <w:sz w:val="22"/>
          <w:szCs w:val="22"/>
        </w:rPr>
        <w:t>, which already</w:t>
      </w:r>
      <w:r w:rsidRPr="006F6335">
        <w:rPr>
          <w:rFonts w:cstheme="minorHAnsi"/>
          <w:sz w:val="22"/>
          <w:szCs w:val="22"/>
        </w:rPr>
        <w:t xml:space="preserve"> centre on </w:t>
      </w:r>
      <w:r w:rsidR="00D941D0" w:rsidRPr="006F6335">
        <w:rPr>
          <w:rFonts w:cstheme="minorHAnsi"/>
          <w:sz w:val="22"/>
          <w:szCs w:val="22"/>
        </w:rPr>
        <w:t>“</w:t>
      </w:r>
      <w:r w:rsidRPr="006F6335">
        <w:rPr>
          <w:rFonts w:cstheme="minorHAnsi"/>
          <w:sz w:val="22"/>
          <w:szCs w:val="22"/>
        </w:rPr>
        <w:t>challenge led needs</w:t>
      </w:r>
      <w:r w:rsidR="00D941D0" w:rsidRPr="006F6335">
        <w:rPr>
          <w:rFonts w:cstheme="minorHAnsi"/>
          <w:sz w:val="22"/>
          <w:szCs w:val="22"/>
        </w:rPr>
        <w:t>”</w:t>
      </w:r>
      <w:r w:rsidRPr="006F6335">
        <w:rPr>
          <w:rFonts w:cstheme="minorHAnsi"/>
          <w:sz w:val="22"/>
          <w:szCs w:val="22"/>
        </w:rPr>
        <w:t xml:space="preserve"> of the </w:t>
      </w:r>
      <w:r w:rsidR="003D20E4" w:rsidRPr="006F6335">
        <w:rPr>
          <w:rFonts w:cstheme="minorHAnsi"/>
          <w:sz w:val="22"/>
          <w:szCs w:val="22"/>
        </w:rPr>
        <w:t xml:space="preserve">operator, </w:t>
      </w:r>
      <w:r w:rsidRPr="006F6335">
        <w:rPr>
          <w:rFonts w:cstheme="minorHAnsi"/>
          <w:sz w:val="22"/>
          <w:szCs w:val="22"/>
        </w:rPr>
        <w:t xml:space="preserve">provide requirements towards </w:t>
      </w:r>
      <w:r w:rsidR="00D941D0" w:rsidRPr="006F6335">
        <w:rPr>
          <w:rFonts w:cstheme="minorHAnsi"/>
          <w:sz w:val="22"/>
          <w:szCs w:val="22"/>
        </w:rPr>
        <w:t xml:space="preserve">programme </w:t>
      </w:r>
      <w:r w:rsidRPr="006F6335">
        <w:rPr>
          <w:rFonts w:cstheme="minorHAnsi"/>
          <w:sz w:val="22"/>
          <w:szCs w:val="22"/>
        </w:rPr>
        <w:t xml:space="preserve">adoption e.g. data standardisation, cyber evaluation etc. </w:t>
      </w:r>
      <w:r w:rsidR="00D941D0" w:rsidRPr="006F6335">
        <w:rPr>
          <w:rFonts w:cstheme="minorHAnsi"/>
          <w:sz w:val="22"/>
          <w:szCs w:val="22"/>
        </w:rPr>
        <w:t xml:space="preserve">We are not supportive of spending £2.5m on advisory services to NIA projects, when challenge led design is already part of the current NIA process. </w:t>
      </w:r>
      <w:r w:rsidR="003D20E4" w:rsidRPr="006F6335">
        <w:rPr>
          <w:rFonts w:cstheme="minorHAnsi"/>
          <w:sz w:val="22"/>
          <w:szCs w:val="22"/>
        </w:rPr>
        <w:t xml:space="preserve">Through the challenge led design approach only projects with a strong justification should be going ahead under the present arrangements. We therefore see no value for consumers or the companies from the proposed advisory service and do not support it. </w:t>
      </w:r>
    </w:p>
    <w:p w14:paraId="7B675097" w14:textId="77777777" w:rsidR="00491639" w:rsidRPr="00955737" w:rsidRDefault="00491639" w:rsidP="00491639">
      <w:pPr>
        <w:rPr>
          <w:rFonts w:cstheme="minorHAnsi"/>
          <w:sz w:val="22"/>
          <w:szCs w:val="22"/>
        </w:rPr>
      </w:pPr>
      <w:bookmarkStart w:id="5" w:name="_GoBack"/>
      <w:bookmarkEnd w:id="5"/>
    </w:p>
    <w:p w14:paraId="0D24C20D" w14:textId="77777777" w:rsidR="00491639" w:rsidRPr="00955737" w:rsidRDefault="00491639" w:rsidP="006D78DC">
      <w:pPr>
        <w:spacing w:after="120"/>
        <w:rPr>
          <w:rFonts w:cstheme="minorHAnsi"/>
          <w:sz w:val="22"/>
          <w:szCs w:val="22"/>
        </w:rPr>
      </w:pPr>
      <w:r w:rsidRPr="00955737">
        <w:rPr>
          <w:rFonts w:cstheme="minorHAnsi"/>
          <w:b/>
          <w:bCs/>
          <w:sz w:val="22"/>
          <w:szCs w:val="22"/>
        </w:rPr>
        <w:t>Question OVQ 23 - Do you agree with our approach to improving oversight and reporting of the NIA?</w:t>
      </w:r>
      <w:r w:rsidRPr="00955737">
        <w:rPr>
          <w:rFonts w:cstheme="minorHAnsi"/>
          <w:sz w:val="22"/>
          <w:szCs w:val="22"/>
        </w:rPr>
        <w:tab/>
      </w:r>
    </w:p>
    <w:p w14:paraId="3EFFF4FC" w14:textId="177C7BC4" w:rsidR="00491639" w:rsidRPr="00955737" w:rsidRDefault="00491639" w:rsidP="00491639">
      <w:pPr>
        <w:rPr>
          <w:rFonts w:cstheme="minorHAnsi"/>
          <w:sz w:val="22"/>
          <w:szCs w:val="22"/>
        </w:rPr>
      </w:pPr>
      <w:r w:rsidRPr="00955737">
        <w:rPr>
          <w:rFonts w:cstheme="minorHAnsi"/>
          <w:sz w:val="22"/>
          <w:szCs w:val="22"/>
        </w:rPr>
        <w:t>We agree with the need</w:t>
      </w:r>
      <w:r w:rsidR="00F205A1">
        <w:rPr>
          <w:rFonts w:cstheme="minorHAnsi"/>
          <w:sz w:val="22"/>
          <w:szCs w:val="22"/>
        </w:rPr>
        <w:t xml:space="preserve"> to improve oversight and reporting of the NIA</w:t>
      </w:r>
      <w:r w:rsidRPr="00955737">
        <w:rPr>
          <w:rFonts w:cstheme="minorHAnsi"/>
          <w:sz w:val="22"/>
          <w:szCs w:val="22"/>
        </w:rPr>
        <w:t>, and in terms of the approach</w:t>
      </w:r>
      <w:r w:rsidR="00526359">
        <w:rPr>
          <w:rFonts w:cstheme="minorHAnsi"/>
          <w:sz w:val="22"/>
          <w:szCs w:val="22"/>
        </w:rPr>
        <w:t>,</w:t>
      </w:r>
      <w:r w:rsidRPr="00955737">
        <w:rPr>
          <w:rFonts w:cstheme="minorHAnsi"/>
          <w:sz w:val="22"/>
          <w:szCs w:val="22"/>
        </w:rPr>
        <w:t xml:space="preserve"> we believe </w:t>
      </w:r>
      <w:r w:rsidR="00F205A1">
        <w:rPr>
          <w:rFonts w:cstheme="minorHAnsi"/>
          <w:sz w:val="22"/>
          <w:szCs w:val="22"/>
        </w:rPr>
        <w:t>Ofgem</w:t>
      </w:r>
      <w:r w:rsidRPr="00955737">
        <w:rPr>
          <w:rFonts w:cstheme="minorHAnsi"/>
          <w:sz w:val="22"/>
          <w:szCs w:val="22"/>
        </w:rPr>
        <w:t xml:space="preserve"> should integrate ISG representation either on the quarterly or 6 monthly basis. </w:t>
      </w:r>
      <w:r w:rsidR="00845A41">
        <w:rPr>
          <w:rFonts w:cstheme="minorHAnsi"/>
          <w:sz w:val="22"/>
          <w:szCs w:val="22"/>
        </w:rPr>
        <w:t>We note that t</w:t>
      </w:r>
      <w:r w:rsidRPr="00955737">
        <w:rPr>
          <w:rFonts w:cstheme="minorHAnsi"/>
          <w:sz w:val="22"/>
          <w:szCs w:val="22"/>
        </w:rPr>
        <w:t xml:space="preserve">here is significant replication in NIA initiatives, </w:t>
      </w:r>
      <w:r w:rsidR="00845A41">
        <w:rPr>
          <w:rFonts w:cstheme="minorHAnsi"/>
          <w:sz w:val="22"/>
          <w:szCs w:val="22"/>
        </w:rPr>
        <w:t xml:space="preserve">for example </w:t>
      </w:r>
      <w:r w:rsidRPr="00955737">
        <w:rPr>
          <w:rFonts w:cstheme="minorHAnsi"/>
          <w:sz w:val="22"/>
          <w:szCs w:val="22"/>
        </w:rPr>
        <w:t xml:space="preserve">several exist in terms of low voltage network innovation. </w:t>
      </w:r>
      <w:r w:rsidR="00845A41">
        <w:rPr>
          <w:rFonts w:cstheme="minorHAnsi"/>
          <w:sz w:val="22"/>
          <w:szCs w:val="22"/>
        </w:rPr>
        <w:t>We therefore believe that</w:t>
      </w:r>
      <w:r w:rsidRPr="00955737">
        <w:rPr>
          <w:rFonts w:cstheme="minorHAnsi"/>
          <w:sz w:val="22"/>
          <w:szCs w:val="22"/>
        </w:rPr>
        <w:t xml:space="preserve"> the oversight panel needs to </w:t>
      </w:r>
      <w:r w:rsidR="00845A41">
        <w:rPr>
          <w:rFonts w:cstheme="minorHAnsi"/>
          <w:sz w:val="22"/>
          <w:szCs w:val="22"/>
        </w:rPr>
        <w:t xml:space="preserve">consider </w:t>
      </w:r>
      <w:r w:rsidRPr="00955737">
        <w:rPr>
          <w:rFonts w:cstheme="minorHAnsi"/>
          <w:sz w:val="22"/>
          <w:szCs w:val="22"/>
        </w:rPr>
        <w:t xml:space="preserve">strategic agreed priority </w:t>
      </w:r>
      <w:r w:rsidR="00845A41">
        <w:rPr>
          <w:rFonts w:cstheme="minorHAnsi"/>
          <w:sz w:val="22"/>
          <w:szCs w:val="22"/>
        </w:rPr>
        <w:t xml:space="preserve">areas and encourage the companies </w:t>
      </w:r>
      <w:r w:rsidR="00C411B3">
        <w:rPr>
          <w:rFonts w:cstheme="minorHAnsi"/>
          <w:sz w:val="22"/>
          <w:szCs w:val="22"/>
        </w:rPr>
        <w:t xml:space="preserve">and network operators </w:t>
      </w:r>
      <w:r w:rsidR="00845A41">
        <w:rPr>
          <w:rFonts w:cstheme="minorHAnsi"/>
          <w:sz w:val="22"/>
          <w:szCs w:val="22"/>
        </w:rPr>
        <w:t xml:space="preserve">to build on prior learning and </w:t>
      </w:r>
      <w:r w:rsidRPr="00955737">
        <w:rPr>
          <w:rFonts w:cstheme="minorHAnsi"/>
          <w:sz w:val="22"/>
          <w:szCs w:val="22"/>
        </w:rPr>
        <w:t>initiatives.</w:t>
      </w:r>
    </w:p>
    <w:p w14:paraId="2001B565" w14:textId="77777777" w:rsidR="00491639" w:rsidRPr="00955737" w:rsidRDefault="00491639" w:rsidP="00BE7CE6">
      <w:pPr>
        <w:rPr>
          <w:rFonts w:cstheme="minorHAnsi"/>
          <w:b/>
          <w:bCs/>
          <w:sz w:val="22"/>
          <w:szCs w:val="22"/>
        </w:rPr>
      </w:pPr>
    </w:p>
    <w:p w14:paraId="39A6834C" w14:textId="77777777" w:rsidR="00491639" w:rsidRPr="00955737" w:rsidRDefault="00491639" w:rsidP="006D78DC">
      <w:pPr>
        <w:spacing w:after="120"/>
        <w:rPr>
          <w:rFonts w:cstheme="minorHAnsi"/>
          <w:b/>
          <w:bCs/>
          <w:sz w:val="22"/>
          <w:szCs w:val="22"/>
        </w:rPr>
      </w:pPr>
      <w:r w:rsidRPr="00955737">
        <w:rPr>
          <w:rFonts w:cstheme="minorHAnsi"/>
          <w:b/>
          <w:bCs/>
          <w:sz w:val="22"/>
          <w:szCs w:val="22"/>
        </w:rPr>
        <w:t>Question OVQ 24 - Do you agree with our proposals to allocate £500m for SIF funding?</w:t>
      </w:r>
      <w:r w:rsidRPr="00955737">
        <w:rPr>
          <w:rFonts w:cstheme="minorHAnsi"/>
          <w:b/>
          <w:bCs/>
          <w:sz w:val="22"/>
          <w:szCs w:val="22"/>
        </w:rPr>
        <w:tab/>
      </w:r>
    </w:p>
    <w:p w14:paraId="7C663CBD" w14:textId="097B47DD" w:rsidR="00491639" w:rsidRPr="00955737" w:rsidRDefault="00491639" w:rsidP="00491639">
      <w:pPr>
        <w:rPr>
          <w:rFonts w:cstheme="minorHAnsi"/>
          <w:sz w:val="22"/>
          <w:szCs w:val="22"/>
        </w:rPr>
      </w:pPr>
      <w:r w:rsidRPr="00955737">
        <w:rPr>
          <w:rFonts w:cstheme="minorHAnsi"/>
          <w:sz w:val="22"/>
          <w:szCs w:val="22"/>
        </w:rPr>
        <w:t xml:space="preserve">No. </w:t>
      </w:r>
      <w:r w:rsidR="00652C74" w:rsidRPr="00955737">
        <w:rPr>
          <w:rFonts w:cstheme="minorHAnsi"/>
          <w:sz w:val="22"/>
          <w:szCs w:val="22"/>
        </w:rPr>
        <w:t>We</w:t>
      </w:r>
      <w:r w:rsidRPr="00955737">
        <w:rPr>
          <w:rFonts w:cstheme="minorHAnsi"/>
          <w:sz w:val="22"/>
          <w:szCs w:val="22"/>
        </w:rPr>
        <w:t xml:space="preserve"> believe the </w:t>
      </w:r>
      <w:r w:rsidR="00652C74" w:rsidRPr="00955737">
        <w:rPr>
          <w:rFonts w:cstheme="minorHAnsi"/>
          <w:sz w:val="22"/>
          <w:szCs w:val="22"/>
        </w:rPr>
        <w:t>overall</w:t>
      </w:r>
      <w:r w:rsidRPr="00955737">
        <w:rPr>
          <w:rFonts w:cstheme="minorHAnsi"/>
          <w:sz w:val="22"/>
          <w:szCs w:val="22"/>
        </w:rPr>
        <w:t xml:space="preserve"> % value of the SIF (sub 5% of total budget) is insufficient in comparison to the overall investment levels</w:t>
      </w:r>
      <w:r w:rsidR="00E13EF2">
        <w:rPr>
          <w:rFonts w:cstheme="minorHAnsi"/>
          <w:sz w:val="22"/>
          <w:szCs w:val="22"/>
        </w:rPr>
        <w:t>. A</w:t>
      </w:r>
      <w:r w:rsidRPr="00955737">
        <w:rPr>
          <w:rFonts w:cstheme="minorHAnsi"/>
          <w:sz w:val="22"/>
          <w:szCs w:val="22"/>
        </w:rPr>
        <w:t>lso when benchmarked against the</w:t>
      </w:r>
      <w:r w:rsidR="00E13EF2">
        <w:rPr>
          <w:rFonts w:cstheme="minorHAnsi"/>
          <w:sz w:val="22"/>
          <w:szCs w:val="22"/>
        </w:rPr>
        <w:t xml:space="preserve"> network companies</w:t>
      </w:r>
      <w:r w:rsidRPr="00955737">
        <w:rPr>
          <w:rFonts w:cstheme="minorHAnsi"/>
          <w:sz w:val="22"/>
          <w:szCs w:val="22"/>
        </w:rPr>
        <w:t xml:space="preserve"> ambitions in terms of rate of change, scale of change, complexity in new B</w:t>
      </w:r>
      <w:r w:rsidR="00652C74" w:rsidRPr="00955737">
        <w:rPr>
          <w:rFonts w:cstheme="minorHAnsi"/>
          <w:sz w:val="22"/>
          <w:szCs w:val="22"/>
        </w:rPr>
        <w:t>A</w:t>
      </w:r>
      <w:r w:rsidRPr="00955737">
        <w:rPr>
          <w:rFonts w:cstheme="minorHAnsi"/>
          <w:sz w:val="22"/>
          <w:szCs w:val="22"/>
        </w:rPr>
        <w:t>U technologies for CNI etc</w:t>
      </w:r>
      <w:r w:rsidR="00E13EF2">
        <w:rPr>
          <w:rFonts w:cstheme="minorHAnsi"/>
          <w:sz w:val="22"/>
          <w:szCs w:val="22"/>
        </w:rPr>
        <w:t xml:space="preserve"> this percentage seems inadequate</w:t>
      </w:r>
      <w:r w:rsidRPr="00955737">
        <w:rPr>
          <w:rFonts w:cstheme="minorHAnsi"/>
          <w:sz w:val="22"/>
          <w:szCs w:val="22"/>
        </w:rPr>
        <w:t xml:space="preserve">. </w:t>
      </w:r>
      <w:r w:rsidR="00E13EF2">
        <w:rPr>
          <w:rFonts w:cstheme="minorHAnsi"/>
          <w:sz w:val="22"/>
          <w:szCs w:val="22"/>
        </w:rPr>
        <w:t>T</w:t>
      </w:r>
      <w:r w:rsidR="00E13EF2" w:rsidRPr="00955737">
        <w:rPr>
          <w:rFonts w:cstheme="minorHAnsi"/>
          <w:sz w:val="22"/>
          <w:szCs w:val="22"/>
        </w:rPr>
        <w:t>he level and rate of business transformation, and increased nexus convergence requirements across networks and other critical networks e.g. transport</w:t>
      </w:r>
      <w:r w:rsidR="00E13EF2">
        <w:rPr>
          <w:rFonts w:cstheme="minorHAnsi"/>
          <w:sz w:val="22"/>
          <w:szCs w:val="22"/>
        </w:rPr>
        <w:t xml:space="preserve"> should not be under estimated</w:t>
      </w:r>
      <w:r w:rsidR="00E13EF2" w:rsidRPr="00955737">
        <w:rPr>
          <w:rFonts w:cstheme="minorHAnsi"/>
          <w:sz w:val="22"/>
          <w:szCs w:val="22"/>
        </w:rPr>
        <w:t xml:space="preserve">. </w:t>
      </w:r>
      <w:r w:rsidR="00E13EF2">
        <w:rPr>
          <w:rFonts w:cstheme="minorHAnsi"/>
          <w:sz w:val="22"/>
          <w:szCs w:val="22"/>
        </w:rPr>
        <w:t xml:space="preserve">In our view </w:t>
      </w:r>
      <w:r w:rsidRPr="00955737">
        <w:rPr>
          <w:rFonts w:cstheme="minorHAnsi"/>
          <w:sz w:val="22"/>
          <w:szCs w:val="22"/>
        </w:rPr>
        <w:t xml:space="preserve">the SIF should reflect 10-15% of total RIIO settlement, and given the new programme architecture for Innovation this increased and </w:t>
      </w:r>
      <w:r w:rsidR="00652C74" w:rsidRPr="00955737">
        <w:rPr>
          <w:rFonts w:cstheme="minorHAnsi"/>
          <w:sz w:val="22"/>
          <w:szCs w:val="22"/>
        </w:rPr>
        <w:t>targeted</w:t>
      </w:r>
      <w:r w:rsidRPr="00955737">
        <w:rPr>
          <w:rFonts w:cstheme="minorHAnsi"/>
          <w:sz w:val="22"/>
          <w:szCs w:val="22"/>
        </w:rPr>
        <w:t xml:space="preserve"> investment would be derisked.</w:t>
      </w:r>
    </w:p>
    <w:p w14:paraId="3490ACC3" w14:textId="77777777" w:rsidR="00955737" w:rsidRPr="00955737" w:rsidRDefault="00955737" w:rsidP="00955737">
      <w:pPr>
        <w:rPr>
          <w:rFonts w:cstheme="minorHAnsi"/>
          <w:b/>
          <w:bCs/>
          <w:sz w:val="22"/>
          <w:szCs w:val="22"/>
        </w:rPr>
      </w:pPr>
    </w:p>
    <w:p w14:paraId="6C4288FA" w14:textId="05B61001" w:rsidR="006D78DC" w:rsidRPr="00955737" w:rsidRDefault="00491639" w:rsidP="006D78DC">
      <w:pPr>
        <w:spacing w:after="120"/>
        <w:rPr>
          <w:rFonts w:cstheme="minorHAnsi"/>
          <w:b/>
          <w:bCs/>
          <w:sz w:val="22"/>
          <w:szCs w:val="22"/>
        </w:rPr>
      </w:pPr>
      <w:r w:rsidRPr="00955737">
        <w:rPr>
          <w:rFonts w:cstheme="minorHAnsi"/>
          <w:b/>
          <w:bCs/>
          <w:sz w:val="22"/>
          <w:szCs w:val="22"/>
        </w:rPr>
        <w:t>Question OVQ 25 - Do you agree with our proposals to introduce a ‘Programmatic Approach’ to the SIF?</w:t>
      </w:r>
      <w:r w:rsidRPr="00955737">
        <w:rPr>
          <w:rFonts w:cstheme="minorHAnsi"/>
          <w:b/>
          <w:bCs/>
          <w:sz w:val="22"/>
          <w:szCs w:val="22"/>
        </w:rPr>
        <w:tab/>
      </w:r>
    </w:p>
    <w:p w14:paraId="79350CA7" w14:textId="31A6F4B5" w:rsidR="00491639" w:rsidRPr="00955737" w:rsidRDefault="00491639" w:rsidP="00491639">
      <w:pPr>
        <w:rPr>
          <w:rFonts w:cstheme="minorHAnsi"/>
          <w:sz w:val="22"/>
          <w:szCs w:val="22"/>
        </w:rPr>
      </w:pPr>
      <w:r w:rsidRPr="00955737">
        <w:rPr>
          <w:rFonts w:cstheme="minorHAnsi"/>
          <w:sz w:val="22"/>
          <w:szCs w:val="22"/>
        </w:rPr>
        <w:t xml:space="preserve">Yes, </w:t>
      </w:r>
      <w:r w:rsidR="00E13EF2">
        <w:rPr>
          <w:rFonts w:cstheme="minorHAnsi"/>
          <w:sz w:val="22"/>
          <w:szCs w:val="22"/>
        </w:rPr>
        <w:t xml:space="preserve">we believe that </w:t>
      </w:r>
      <w:r w:rsidRPr="00955737">
        <w:rPr>
          <w:rFonts w:cstheme="minorHAnsi"/>
          <w:sz w:val="22"/>
          <w:szCs w:val="22"/>
        </w:rPr>
        <w:t>an overarching structure and oversight capability is vital to expedite innovation to B</w:t>
      </w:r>
      <w:r w:rsidR="00652C74" w:rsidRPr="00955737">
        <w:rPr>
          <w:rFonts w:cstheme="minorHAnsi"/>
          <w:sz w:val="22"/>
          <w:szCs w:val="22"/>
        </w:rPr>
        <w:t>A</w:t>
      </w:r>
      <w:r w:rsidRPr="00955737">
        <w:rPr>
          <w:rFonts w:cstheme="minorHAnsi"/>
          <w:sz w:val="22"/>
          <w:szCs w:val="22"/>
        </w:rPr>
        <w:t>U aligned to the current and emergent needs of networks.</w:t>
      </w:r>
    </w:p>
    <w:p w14:paraId="25149A14" w14:textId="77777777" w:rsidR="00491639" w:rsidRPr="00955737" w:rsidRDefault="00491639" w:rsidP="00491639">
      <w:pPr>
        <w:rPr>
          <w:rFonts w:cstheme="minorHAnsi"/>
          <w:sz w:val="22"/>
          <w:szCs w:val="22"/>
        </w:rPr>
      </w:pPr>
    </w:p>
    <w:p w14:paraId="71D7A481" w14:textId="77777777" w:rsidR="006D78DC" w:rsidRPr="00955737" w:rsidRDefault="00491639" w:rsidP="006D78DC">
      <w:pPr>
        <w:spacing w:after="120"/>
        <w:rPr>
          <w:rFonts w:cstheme="minorHAnsi"/>
          <w:b/>
          <w:bCs/>
          <w:sz w:val="22"/>
          <w:szCs w:val="22"/>
        </w:rPr>
      </w:pPr>
      <w:r w:rsidRPr="00955737">
        <w:rPr>
          <w:rFonts w:cstheme="minorHAnsi"/>
          <w:b/>
          <w:bCs/>
          <w:sz w:val="22"/>
          <w:szCs w:val="22"/>
        </w:rPr>
        <w:t>Question OVQ 26 - Do you agree with our proposal to introduce a £50m deployment fund, utilising £50m from the total £500m SIF allocation?</w:t>
      </w:r>
      <w:r w:rsidRPr="00955737">
        <w:rPr>
          <w:rFonts w:cstheme="minorHAnsi"/>
          <w:b/>
          <w:bCs/>
          <w:sz w:val="22"/>
          <w:szCs w:val="22"/>
        </w:rPr>
        <w:tab/>
      </w:r>
    </w:p>
    <w:p w14:paraId="03335563" w14:textId="4DEEBD1E" w:rsidR="00491639" w:rsidRPr="00955737" w:rsidRDefault="00491639" w:rsidP="00491639">
      <w:pPr>
        <w:rPr>
          <w:rFonts w:cstheme="minorHAnsi"/>
          <w:sz w:val="22"/>
          <w:szCs w:val="22"/>
        </w:rPr>
      </w:pPr>
      <w:r w:rsidRPr="00955737">
        <w:rPr>
          <w:rFonts w:cstheme="minorHAnsi"/>
          <w:sz w:val="22"/>
          <w:szCs w:val="22"/>
        </w:rPr>
        <w:t xml:space="preserve">No, this should be in addition to a larger SIF allocation. </w:t>
      </w:r>
      <w:r w:rsidR="00E13EF2">
        <w:rPr>
          <w:rFonts w:cstheme="minorHAnsi"/>
          <w:sz w:val="22"/>
          <w:szCs w:val="22"/>
        </w:rPr>
        <w:t xml:space="preserve">However </w:t>
      </w:r>
      <w:r w:rsidRPr="00955737">
        <w:rPr>
          <w:rFonts w:cstheme="minorHAnsi"/>
          <w:sz w:val="22"/>
          <w:szCs w:val="22"/>
        </w:rPr>
        <w:t>the function of the</w:t>
      </w:r>
      <w:r w:rsidR="00E13EF2">
        <w:rPr>
          <w:rFonts w:cstheme="minorHAnsi"/>
          <w:sz w:val="22"/>
          <w:szCs w:val="22"/>
        </w:rPr>
        <w:t xml:space="preserve"> deployment</w:t>
      </w:r>
      <w:r w:rsidRPr="00955737">
        <w:rPr>
          <w:rFonts w:cstheme="minorHAnsi"/>
          <w:sz w:val="22"/>
          <w:szCs w:val="22"/>
        </w:rPr>
        <w:t xml:space="preserve"> fund to support </w:t>
      </w:r>
      <w:r w:rsidR="00652C74" w:rsidRPr="00955737">
        <w:rPr>
          <w:rFonts w:cstheme="minorHAnsi"/>
          <w:sz w:val="22"/>
          <w:szCs w:val="22"/>
        </w:rPr>
        <w:t>continuity</w:t>
      </w:r>
      <w:r w:rsidRPr="00955737">
        <w:rPr>
          <w:rFonts w:cstheme="minorHAnsi"/>
          <w:sz w:val="22"/>
          <w:szCs w:val="22"/>
        </w:rPr>
        <w:t xml:space="preserve"> and scalable demonstration across </w:t>
      </w:r>
      <w:r w:rsidR="00652C74" w:rsidRPr="00955737">
        <w:rPr>
          <w:rFonts w:cstheme="minorHAnsi"/>
          <w:sz w:val="22"/>
          <w:szCs w:val="22"/>
        </w:rPr>
        <w:t>financial</w:t>
      </w:r>
      <w:r w:rsidRPr="00955737">
        <w:rPr>
          <w:rFonts w:cstheme="minorHAnsi"/>
          <w:sz w:val="22"/>
          <w:szCs w:val="22"/>
        </w:rPr>
        <w:t xml:space="preserve"> controls - is a good initiative.</w:t>
      </w:r>
    </w:p>
    <w:p w14:paraId="08F36513" w14:textId="77777777" w:rsidR="00491639" w:rsidRPr="00955737" w:rsidRDefault="00491639" w:rsidP="00491639">
      <w:pPr>
        <w:rPr>
          <w:rFonts w:cstheme="minorHAnsi"/>
          <w:sz w:val="22"/>
          <w:szCs w:val="22"/>
        </w:rPr>
      </w:pPr>
    </w:p>
    <w:p w14:paraId="330CB74E" w14:textId="77777777" w:rsidR="006D78DC" w:rsidRPr="00955737" w:rsidRDefault="00491639" w:rsidP="006D78DC">
      <w:pPr>
        <w:spacing w:after="120"/>
        <w:rPr>
          <w:rFonts w:cstheme="minorHAnsi"/>
          <w:sz w:val="22"/>
          <w:szCs w:val="22"/>
        </w:rPr>
      </w:pPr>
      <w:r w:rsidRPr="00955737">
        <w:rPr>
          <w:rFonts w:cstheme="minorHAnsi"/>
          <w:b/>
          <w:bCs/>
          <w:sz w:val="22"/>
          <w:szCs w:val="22"/>
        </w:rPr>
        <w:lastRenderedPageBreak/>
        <w:t>Question OVQ 27 - Do you agree that the deployment fund should also be open to innovation projects that haven't been funded through NIA, NIC or SIF?</w:t>
      </w:r>
      <w:r w:rsidRPr="00955737">
        <w:rPr>
          <w:rFonts w:cstheme="minorHAnsi"/>
          <w:sz w:val="22"/>
          <w:szCs w:val="22"/>
        </w:rPr>
        <w:tab/>
      </w:r>
    </w:p>
    <w:p w14:paraId="635F6E09" w14:textId="5ABB7EE0" w:rsidR="00491639" w:rsidRPr="00955737" w:rsidRDefault="00491639" w:rsidP="00491639">
      <w:pPr>
        <w:rPr>
          <w:rFonts w:cstheme="minorHAnsi"/>
          <w:sz w:val="22"/>
          <w:szCs w:val="22"/>
        </w:rPr>
      </w:pPr>
      <w:r w:rsidRPr="00955737">
        <w:rPr>
          <w:rFonts w:cstheme="minorHAnsi"/>
          <w:sz w:val="22"/>
          <w:szCs w:val="22"/>
        </w:rPr>
        <w:t>Yes</w:t>
      </w:r>
      <w:r w:rsidR="00E13EF2">
        <w:rPr>
          <w:rFonts w:cstheme="minorHAnsi"/>
          <w:sz w:val="22"/>
          <w:szCs w:val="22"/>
        </w:rPr>
        <w:t xml:space="preserve"> we agree</w:t>
      </w:r>
      <w:r w:rsidRPr="00955737">
        <w:rPr>
          <w:rFonts w:cstheme="minorHAnsi"/>
          <w:sz w:val="22"/>
          <w:szCs w:val="22"/>
        </w:rPr>
        <w:t>.</w:t>
      </w:r>
    </w:p>
    <w:p w14:paraId="7A475D33" w14:textId="77777777" w:rsidR="00491639" w:rsidRPr="00955737" w:rsidRDefault="00491639" w:rsidP="00491639">
      <w:pPr>
        <w:rPr>
          <w:rFonts w:cstheme="minorHAnsi"/>
          <w:sz w:val="22"/>
          <w:szCs w:val="22"/>
        </w:rPr>
      </w:pPr>
    </w:p>
    <w:p w14:paraId="1DFB07EA" w14:textId="77777777" w:rsidR="006D78DC" w:rsidRPr="00955737" w:rsidRDefault="00491639" w:rsidP="00652C74">
      <w:pPr>
        <w:spacing w:after="120"/>
        <w:rPr>
          <w:rFonts w:cstheme="minorHAnsi"/>
          <w:b/>
          <w:bCs/>
          <w:sz w:val="22"/>
          <w:szCs w:val="22"/>
        </w:rPr>
      </w:pPr>
      <w:r w:rsidRPr="00955737">
        <w:rPr>
          <w:rFonts w:cstheme="minorHAnsi"/>
          <w:b/>
          <w:bCs/>
          <w:sz w:val="22"/>
          <w:szCs w:val="22"/>
        </w:rPr>
        <w:t>Question OVQ 28 - Do you agree with our proposal to reverse the SSMD position of removing the Discovery phase from SIF?</w:t>
      </w:r>
    </w:p>
    <w:p w14:paraId="5F0D3C84" w14:textId="5AD9F9CB" w:rsidR="00491639" w:rsidRPr="00955737" w:rsidRDefault="00E13EF2" w:rsidP="00491639">
      <w:pPr>
        <w:rPr>
          <w:rFonts w:cstheme="minorHAnsi"/>
          <w:sz w:val="22"/>
          <w:szCs w:val="22"/>
        </w:rPr>
      </w:pPr>
      <w:r>
        <w:rPr>
          <w:rFonts w:cstheme="minorHAnsi"/>
          <w:sz w:val="22"/>
          <w:szCs w:val="22"/>
        </w:rPr>
        <w:t>Yes we do agree. We believe that t</w:t>
      </w:r>
      <w:r w:rsidR="00491639" w:rsidRPr="00955737">
        <w:rPr>
          <w:rFonts w:cstheme="minorHAnsi"/>
          <w:sz w:val="22"/>
          <w:szCs w:val="22"/>
        </w:rPr>
        <w:t>his will reduce overlap and replication with NIA projects that should have better coordination moving forward with respect to SIF projects.</w:t>
      </w:r>
    </w:p>
    <w:p w14:paraId="551CF5BE" w14:textId="77777777" w:rsidR="00491639" w:rsidRPr="00955737" w:rsidRDefault="00491639" w:rsidP="00491639">
      <w:pPr>
        <w:rPr>
          <w:rFonts w:cstheme="minorHAnsi"/>
          <w:sz w:val="22"/>
          <w:szCs w:val="22"/>
        </w:rPr>
      </w:pPr>
    </w:p>
    <w:p w14:paraId="30303EA9" w14:textId="77777777" w:rsidR="00491639" w:rsidRPr="00955737" w:rsidRDefault="00491639" w:rsidP="00652C74">
      <w:pPr>
        <w:spacing w:after="120"/>
        <w:rPr>
          <w:rFonts w:cstheme="minorHAnsi"/>
          <w:b/>
          <w:bCs/>
          <w:sz w:val="22"/>
          <w:szCs w:val="22"/>
        </w:rPr>
      </w:pPr>
      <w:r w:rsidRPr="00955737">
        <w:rPr>
          <w:rFonts w:cstheme="minorHAnsi"/>
          <w:b/>
          <w:bCs/>
          <w:sz w:val="22"/>
          <w:szCs w:val="22"/>
        </w:rPr>
        <w:t>Question OVQ 29 - Do you agree with our proposals to retain the core aspects of the SIF for RIIO-3?</w:t>
      </w:r>
      <w:r w:rsidRPr="00955737">
        <w:rPr>
          <w:rFonts w:cstheme="minorHAnsi"/>
          <w:b/>
          <w:bCs/>
          <w:sz w:val="22"/>
          <w:szCs w:val="22"/>
        </w:rPr>
        <w:tab/>
      </w:r>
    </w:p>
    <w:p w14:paraId="19D77E5B" w14:textId="44B2A34C" w:rsidR="00491639" w:rsidRPr="00955737" w:rsidRDefault="00491639" w:rsidP="00491639">
      <w:pPr>
        <w:rPr>
          <w:rFonts w:cstheme="minorHAnsi"/>
          <w:sz w:val="22"/>
          <w:szCs w:val="22"/>
        </w:rPr>
      </w:pPr>
      <w:r w:rsidRPr="00955737">
        <w:rPr>
          <w:rFonts w:cstheme="minorHAnsi"/>
          <w:sz w:val="22"/>
          <w:szCs w:val="22"/>
        </w:rPr>
        <w:t>Yes</w:t>
      </w:r>
      <w:r w:rsidR="00E13EF2">
        <w:rPr>
          <w:rFonts w:cstheme="minorHAnsi"/>
          <w:sz w:val="22"/>
          <w:szCs w:val="22"/>
        </w:rPr>
        <w:t>.</w:t>
      </w:r>
    </w:p>
    <w:p w14:paraId="57CA5C28" w14:textId="77777777" w:rsidR="00491639" w:rsidRPr="00955737" w:rsidRDefault="00491639" w:rsidP="00491639">
      <w:pPr>
        <w:rPr>
          <w:rFonts w:cstheme="minorHAnsi"/>
          <w:sz w:val="22"/>
          <w:szCs w:val="22"/>
        </w:rPr>
      </w:pPr>
    </w:p>
    <w:p w14:paraId="5DC9CEDF" w14:textId="77777777" w:rsidR="00491639" w:rsidRPr="00955737" w:rsidRDefault="00491639" w:rsidP="00652C74">
      <w:pPr>
        <w:spacing w:after="120"/>
        <w:rPr>
          <w:rFonts w:cstheme="minorHAnsi"/>
          <w:sz w:val="22"/>
          <w:szCs w:val="22"/>
        </w:rPr>
      </w:pPr>
      <w:r w:rsidRPr="00955737">
        <w:rPr>
          <w:rFonts w:cstheme="minorHAnsi"/>
          <w:b/>
          <w:bCs/>
          <w:sz w:val="22"/>
          <w:szCs w:val="22"/>
        </w:rPr>
        <w:t>Question OVQ 30 - Do you agree with our proposals for a more flexible approach to contribution rates to fund SIF projects?</w:t>
      </w:r>
      <w:r w:rsidRPr="00955737">
        <w:rPr>
          <w:rFonts w:cstheme="minorHAnsi"/>
          <w:sz w:val="22"/>
          <w:szCs w:val="22"/>
        </w:rPr>
        <w:tab/>
      </w:r>
    </w:p>
    <w:p w14:paraId="7B1719D5" w14:textId="4E7F21C9" w:rsidR="00491639" w:rsidRPr="00955737" w:rsidRDefault="00E13EF2" w:rsidP="00491639">
      <w:pPr>
        <w:rPr>
          <w:rFonts w:cstheme="minorHAnsi"/>
          <w:sz w:val="22"/>
          <w:szCs w:val="22"/>
        </w:rPr>
      </w:pPr>
      <w:r>
        <w:rPr>
          <w:rFonts w:cstheme="minorHAnsi"/>
          <w:sz w:val="22"/>
          <w:szCs w:val="22"/>
        </w:rPr>
        <w:t xml:space="preserve">Yes we agree. </w:t>
      </w:r>
      <w:r w:rsidR="00491639" w:rsidRPr="00955737">
        <w:rPr>
          <w:rFonts w:cstheme="minorHAnsi"/>
          <w:sz w:val="22"/>
          <w:szCs w:val="22"/>
        </w:rPr>
        <w:t>This will support high risk and high reward innovation, whilst also protecting funding in terms of higher T</w:t>
      </w:r>
      <w:r w:rsidR="00E25029">
        <w:rPr>
          <w:rFonts w:cstheme="minorHAnsi"/>
          <w:sz w:val="22"/>
          <w:szCs w:val="22"/>
        </w:rPr>
        <w:t xml:space="preserve">echnology </w:t>
      </w:r>
      <w:r w:rsidR="00491639" w:rsidRPr="00955737">
        <w:rPr>
          <w:rFonts w:cstheme="minorHAnsi"/>
          <w:sz w:val="22"/>
          <w:szCs w:val="22"/>
        </w:rPr>
        <w:t>R</w:t>
      </w:r>
      <w:r w:rsidR="00E25029">
        <w:rPr>
          <w:rFonts w:cstheme="minorHAnsi"/>
          <w:sz w:val="22"/>
          <w:szCs w:val="22"/>
        </w:rPr>
        <w:t xml:space="preserve">eadiness </w:t>
      </w:r>
      <w:r w:rsidR="00491639" w:rsidRPr="00955737">
        <w:rPr>
          <w:rFonts w:cstheme="minorHAnsi"/>
          <w:sz w:val="22"/>
          <w:szCs w:val="22"/>
        </w:rPr>
        <w:t>L</w:t>
      </w:r>
      <w:r w:rsidR="00E25029">
        <w:rPr>
          <w:rFonts w:cstheme="minorHAnsi"/>
          <w:sz w:val="22"/>
          <w:szCs w:val="22"/>
        </w:rPr>
        <w:t>evel</w:t>
      </w:r>
      <w:r w:rsidR="00491639" w:rsidRPr="00955737">
        <w:rPr>
          <w:rFonts w:cstheme="minorHAnsi"/>
          <w:sz w:val="22"/>
          <w:szCs w:val="22"/>
        </w:rPr>
        <w:t>/reduced risk concepts in terms of customer funded innovation pot.</w:t>
      </w:r>
    </w:p>
    <w:p w14:paraId="2D071E93" w14:textId="77777777" w:rsidR="00491639" w:rsidRPr="00955737" w:rsidRDefault="00491639" w:rsidP="00491639">
      <w:pPr>
        <w:rPr>
          <w:rFonts w:cstheme="minorHAnsi"/>
          <w:sz w:val="22"/>
          <w:szCs w:val="22"/>
        </w:rPr>
      </w:pPr>
    </w:p>
    <w:p w14:paraId="7BA7DD5B" w14:textId="71B3D8B8" w:rsidR="00491639" w:rsidRPr="00955737" w:rsidRDefault="00491639" w:rsidP="00652C74">
      <w:pPr>
        <w:spacing w:after="120"/>
        <w:rPr>
          <w:rFonts w:cstheme="minorHAnsi"/>
          <w:sz w:val="22"/>
          <w:szCs w:val="22"/>
        </w:rPr>
      </w:pPr>
      <w:r w:rsidRPr="00955737">
        <w:rPr>
          <w:rFonts w:cstheme="minorHAnsi"/>
          <w:b/>
          <w:bCs/>
          <w:sz w:val="22"/>
          <w:szCs w:val="22"/>
        </w:rPr>
        <w:t>Question OVQ 31 - Do you agree with updating the SIF eligibility criteria and assessment process?</w:t>
      </w:r>
    </w:p>
    <w:p w14:paraId="40470A19" w14:textId="3B97545D" w:rsidR="00491639" w:rsidRPr="00955737" w:rsidRDefault="00D57170" w:rsidP="00491639">
      <w:pPr>
        <w:rPr>
          <w:rFonts w:cstheme="minorHAnsi"/>
          <w:sz w:val="22"/>
          <w:szCs w:val="22"/>
        </w:rPr>
      </w:pPr>
      <w:r>
        <w:rPr>
          <w:rFonts w:cstheme="minorHAnsi"/>
          <w:sz w:val="22"/>
          <w:szCs w:val="22"/>
        </w:rPr>
        <w:t xml:space="preserve">We believe that the SIF eligibility criteria and assessment process </w:t>
      </w:r>
      <w:r w:rsidR="00491639" w:rsidRPr="00955737">
        <w:rPr>
          <w:rFonts w:cstheme="minorHAnsi"/>
          <w:sz w:val="22"/>
          <w:szCs w:val="22"/>
        </w:rPr>
        <w:t>can be improved</w:t>
      </w:r>
      <w:r>
        <w:rPr>
          <w:rFonts w:cstheme="minorHAnsi"/>
          <w:sz w:val="22"/>
          <w:szCs w:val="22"/>
        </w:rPr>
        <w:t>. However we</w:t>
      </w:r>
      <w:r w:rsidR="00491639" w:rsidRPr="00955737">
        <w:rPr>
          <w:rFonts w:cstheme="minorHAnsi"/>
          <w:sz w:val="22"/>
          <w:szCs w:val="22"/>
        </w:rPr>
        <w:t xml:space="preserve"> b</w:t>
      </w:r>
      <w:r>
        <w:rPr>
          <w:rFonts w:cstheme="minorHAnsi"/>
          <w:sz w:val="22"/>
          <w:szCs w:val="22"/>
        </w:rPr>
        <w:t>elieve</w:t>
      </w:r>
      <w:r w:rsidR="00491639" w:rsidRPr="00955737">
        <w:rPr>
          <w:rFonts w:cstheme="minorHAnsi"/>
          <w:sz w:val="22"/>
          <w:szCs w:val="22"/>
        </w:rPr>
        <w:t xml:space="preserve"> it</w:t>
      </w:r>
      <w:r>
        <w:rPr>
          <w:rFonts w:cstheme="minorHAnsi"/>
          <w:sz w:val="22"/>
          <w:szCs w:val="22"/>
        </w:rPr>
        <w:t xml:space="preserve"> i</w:t>
      </w:r>
      <w:r w:rsidR="00491639" w:rsidRPr="00955737">
        <w:rPr>
          <w:rFonts w:cstheme="minorHAnsi"/>
          <w:sz w:val="22"/>
          <w:szCs w:val="22"/>
        </w:rPr>
        <w:t>s important that the network operators and ISG</w:t>
      </w:r>
      <w:r w:rsidR="001A65C6">
        <w:rPr>
          <w:rFonts w:cstheme="minorHAnsi"/>
          <w:sz w:val="22"/>
          <w:szCs w:val="22"/>
        </w:rPr>
        <w:t>s</w:t>
      </w:r>
      <w:r w:rsidR="00491639" w:rsidRPr="00955737">
        <w:rPr>
          <w:rFonts w:cstheme="minorHAnsi"/>
          <w:sz w:val="22"/>
          <w:szCs w:val="22"/>
        </w:rPr>
        <w:t xml:space="preserve"> inform </w:t>
      </w:r>
      <w:r>
        <w:rPr>
          <w:rFonts w:cstheme="minorHAnsi"/>
          <w:sz w:val="22"/>
          <w:szCs w:val="22"/>
        </w:rPr>
        <w:t>any review. This would allow</w:t>
      </w:r>
      <w:r w:rsidR="00491639" w:rsidRPr="00955737">
        <w:rPr>
          <w:rFonts w:cstheme="minorHAnsi"/>
          <w:sz w:val="22"/>
          <w:szCs w:val="22"/>
        </w:rPr>
        <w:t xml:space="preserve">, </w:t>
      </w:r>
      <w:r>
        <w:rPr>
          <w:rFonts w:cstheme="minorHAnsi"/>
          <w:sz w:val="22"/>
          <w:szCs w:val="22"/>
        </w:rPr>
        <w:t xml:space="preserve">for the </w:t>
      </w:r>
      <w:r w:rsidR="00491639" w:rsidRPr="00955737">
        <w:rPr>
          <w:rFonts w:cstheme="minorHAnsi"/>
          <w:sz w:val="22"/>
          <w:szCs w:val="22"/>
        </w:rPr>
        <w:t>creat</w:t>
      </w:r>
      <w:r>
        <w:rPr>
          <w:rFonts w:cstheme="minorHAnsi"/>
          <w:sz w:val="22"/>
          <w:szCs w:val="22"/>
        </w:rPr>
        <w:t>ion of</w:t>
      </w:r>
      <w:r w:rsidR="00491639" w:rsidRPr="00955737">
        <w:rPr>
          <w:rFonts w:cstheme="minorHAnsi"/>
          <w:sz w:val="22"/>
          <w:szCs w:val="22"/>
        </w:rPr>
        <w:t xml:space="preserve"> a relevant matrix</w:t>
      </w:r>
      <w:r>
        <w:rPr>
          <w:rFonts w:cstheme="minorHAnsi"/>
          <w:sz w:val="22"/>
          <w:szCs w:val="22"/>
        </w:rPr>
        <w:t>,</w:t>
      </w:r>
      <w:r w:rsidR="00491639" w:rsidRPr="00955737">
        <w:rPr>
          <w:rFonts w:cstheme="minorHAnsi"/>
          <w:sz w:val="22"/>
          <w:szCs w:val="22"/>
        </w:rPr>
        <w:t xml:space="preserve"> </w:t>
      </w:r>
      <w:r>
        <w:rPr>
          <w:rFonts w:cstheme="minorHAnsi"/>
          <w:sz w:val="22"/>
          <w:szCs w:val="22"/>
        </w:rPr>
        <w:t>which takes account of</w:t>
      </w:r>
      <w:r w:rsidR="00491639" w:rsidRPr="00955737">
        <w:rPr>
          <w:rFonts w:cstheme="minorHAnsi"/>
          <w:sz w:val="22"/>
          <w:szCs w:val="22"/>
        </w:rPr>
        <w:t xml:space="preserve"> network needs and customer interests.</w:t>
      </w:r>
    </w:p>
    <w:p w14:paraId="4E592A31" w14:textId="77777777" w:rsidR="00491639" w:rsidRPr="00955737" w:rsidRDefault="00491639" w:rsidP="00491639">
      <w:pPr>
        <w:rPr>
          <w:rFonts w:cstheme="minorHAnsi"/>
          <w:sz w:val="22"/>
          <w:szCs w:val="22"/>
        </w:rPr>
      </w:pPr>
    </w:p>
    <w:p w14:paraId="079997C9" w14:textId="77777777" w:rsidR="006D78DC" w:rsidRPr="00955737" w:rsidRDefault="00491639" w:rsidP="00652C74">
      <w:pPr>
        <w:spacing w:after="120"/>
        <w:rPr>
          <w:rFonts w:cstheme="minorHAnsi"/>
          <w:sz w:val="22"/>
          <w:szCs w:val="22"/>
        </w:rPr>
      </w:pPr>
      <w:r w:rsidRPr="00955737">
        <w:rPr>
          <w:rFonts w:cstheme="minorHAnsi"/>
          <w:b/>
          <w:bCs/>
          <w:sz w:val="22"/>
          <w:szCs w:val="22"/>
        </w:rPr>
        <w:t>OVQ 32 - Do you agree with our proposal to establish a direct pathway for transformative projects to seek Ofgem's support for funding?</w:t>
      </w:r>
      <w:r w:rsidRPr="00955737">
        <w:rPr>
          <w:rFonts w:cstheme="minorHAnsi"/>
          <w:sz w:val="22"/>
          <w:szCs w:val="22"/>
        </w:rPr>
        <w:tab/>
      </w:r>
    </w:p>
    <w:p w14:paraId="005B3588" w14:textId="38E247FE" w:rsidR="00491639" w:rsidRPr="00955737" w:rsidRDefault="004044B2" w:rsidP="00491639">
      <w:pPr>
        <w:rPr>
          <w:rFonts w:cstheme="minorHAnsi"/>
          <w:sz w:val="22"/>
          <w:szCs w:val="22"/>
        </w:rPr>
      </w:pPr>
      <w:r>
        <w:rPr>
          <w:rFonts w:cstheme="minorHAnsi"/>
          <w:sz w:val="22"/>
          <w:szCs w:val="22"/>
        </w:rPr>
        <w:t>We do agree with establishing a direct pathway for transformative projects to seek Ofgem support, as t</w:t>
      </w:r>
      <w:r w:rsidR="00491639" w:rsidRPr="00955737">
        <w:rPr>
          <w:rFonts w:cstheme="minorHAnsi"/>
          <w:sz w:val="22"/>
          <w:szCs w:val="22"/>
        </w:rPr>
        <w:t>his will support more strategic cooperation and potentially fast track impact.</w:t>
      </w:r>
    </w:p>
    <w:p w14:paraId="598DD713" w14:textId="77777777" w:rsidR="006D78DC" w:rsidRPr="00955737" w:rsidRDefault="006D78DC" w:rsidP="00491639">
      <w:pPr>
        <w:rPr>
          <w:rFonts w:cstheme="minorHAnsi"/>
          <w:sz w:val="22"/>
          <w:szCs w:val="22"/>
        </w:rPr>
      </w:pPr>
    </w:p>
    <w:p w14:paraId="66350DBB" w14:textId="77777777" w:rsidR="00652C74" w:rsidRPr="00955737" w:rsidRDefault="006D78DC" w:rsidP="00652C74">
      <w:pPr>
        <w:spacing w:after="120"/>
        <w:rPr>
          <w:rFonts w:cstheme="minorHAnsi"/>
          <w:b/>
          <w:bCs/>
          <w:sz w:val="22"/>
          <w:szCs w:val="22"/>
        </w:rPr>
      </w:pPr>
      <w:r w:rsidRPr="00955737">
        <w:rPr>
          <w:rFonts w:cstheme="minorHAnsi"/>
          <w:b/>
          <w:bCs/>
          <w:sz w:val="22"/>
          <w:szCs w:val="22"/>
        </w:rPr>
        <w:t xml:space="preserve">Question </w:t>
      </w:r>
      <w:r w:rsidR="00491639" w:rsidRPr="00955737">
        <w:rPr>
          <w:rFonts w:cstheme="minorHAnsi"/>
          <w:b/>
          <w:bCs/>
          <w:sz w:val="22"/>
          <w:szCs w:val="22"/>
        </w:rPr>
        <w:t>OVQ 34</w:t>
      </w:r>
      <w:r w:rsidRPr="00955737">
        <w:rPr>
          <w:rFonts w:cstheme="minorHAnsi"/>
          <w:b/>
          <w:bCs/>
          <w:sz w:val="22"/>
          <w:szCs w:val="22"/>
        </w:rPr>
        <w:t xml:space="preserve"> - </w:t>
      </w:r>
      <w:r w:rsidR="00491639" w:rsidRPr="00955737">
        <w:rPr>
          <w:rFonts w:cstheme="minorHAnsi"/>
          <w:b/>
          <w:bCs/>
          <w:sz w:val="22"/>
          <w:szCs w:val="22"/>
        </w:rPr>
        <w:t>Do you agree with our approach to improving reporting of deployed SIF projects and lessons learned post-funding?</w:t>
      </w:r>
      <w:r w:rsidR="00491639" w:rsidRPr="00955737">
        <w:rPr>
          <w:rFonts w:cstheme="minorHAnsi"/>
          <w:b/>
          <w:bCs/>
          <w:sz w:val="22"/>
          <w:szCs w:val="22"/>
        </w:rPr>
        <w:tab/>
      </w:r>
    </w:p>
    <w:p w14:paraId="46214AB8" w14:textId="221AB1C2" w:rsidR="00491639" w:rsidRPr="00955737" w:rsidRDefault="004044B2" w:rsidP="00491639">
      <w:pPr>
        <w:rPr>
          <w:rFonts w:cstheme="minorHAnsi"/>
          <w:sz w:val="22"/>
          <w:szCs w:val="22"/>
        </w:rPr>
      </w:pPr>
      <w:r>
        <w:rPr>
          <w:rFonts w:cstheme="minorHAnsi"/>
          <w:sz w:val="22"/>
          <w:szCs w:val="22"/>
        </w:rPr>
        <w:t>Yes we agree. We believe that n</w:t>
      </w:r>
      <w:r w:rsidR="00491639" w:rsidRPr="00955737">
        <w:rPr>
          <w:rFonts w:cstheme="minorHAnsi"/>
          <w:sz w:val="22"/>
          <w:szCs w:val="22"/>
        </w:rPr>
        <w:t xml:space="preserve">ew projects need to explain and should justify their complimentary fit to current and prior </w:t>
      </w:r>
      <w:r>
        <w:rPr>
          <w:rFonts w:cstheme="minorHAnsi"/>
          <w:sz w:val="22"/>
          <w:szCs w:val="22"/>
        </w:rPr>
        <w:t>projects/work</w:t>
      </w:r>
      <w:r w:rsidR="00491639" w:rsidRPr="00955737">
        <w:rPr>
          <w:rFonts w:cstheme="minorHAnsi"/>
          <w:sz w:val="22"/>
          <w:szCs w:val="22"/>
        </w:rPr>
        <w:t xml:space="preserve">. </w:t>
      </w:r>
      <w:r>
        <w:rPr>
          <w:rFonts w:cstheme="minorHAnsi"/>
          <w:sz w:val="22"/>
          <w:szCs w:val="22"/>
        </w:rPr>
        <w:t xml:space="preserve">In addition we would suggest that </w:t>
      </w:r>
      <w:r w:rsidR="00491639" w:rsidRPr="00955737">
        <w:rPr>
          <w:rFonts w:cstheme="minorHAnsi"/>
          <w:sz w:val="22"/>
          <w:szCs w:val="22"/>
        </w:rPr>
        <w:t>there should also be an embedded criteria, where relevant, with respect to what learning, technology etc is adopted from prior work into new project initiatives.</w:t>
      </w:r>
    </w:p>
    <w:p w14:paraId="589A0048" w14:textId="77777777" w:rsidR="006D78DC" w:rsidRPr="00955737" w:rsidRDefault="006D78DC" w:rsidP="00491639">
      <w:pPr>
        <w:rPr>
          <w:rFonts w:cstheme="minorHAnsi"/>
          <w:sz w:val="22"/>
          <w:szCs w:val="22"/>
        </w:rPr>
      </w:pPr>
    </w:p>
    <w:p w14:paraId="2AE17359" w14:textId="77777777" w:rsidR="006D78DC" w:rsidRPr="00955737" w:rsidRDefault="006D78DC" w:rsidP="00652C74">
      <w:pPr>
        <w:spacing w:after="120"/>
        <w:rPr>
          <w:rFonts w:cstheme="minorHAnsi"/>
          <w:b/>
          <w:bCs/>
          <w:sz w:val="22"/>
          <w:szCs w:val="22"/>
        </w:rPr>
      </w:pPr>
      <w:r w:rsidRPr="00955737">
        <w:rPr>
          <w:rFonts w:cstheme="minorHAnsi"/>
          <w:b/>
          <w:bCs/>
          <w:sz w:val="22"/>
          <w:szCs w:val="22"/>
        </w:rPr>
        <w:t xml:space="preserve">Question </w:t>
      </w:r>
      <w:r w:rsidR="00491639" w:rsidRPr="00955737">
        <w:rPr>
          <w:rFonts w:cstheme="minorHAnsi"/>
          <w:b/>
          <w:bCs/>
          <w:sz w:val="22"/>
          <w:szCs w:val="22"/>
        </w:rPr>
        <w:t>OVQ 36</w:t>
      </w:r>
      <w:r w:rsidRPr="00955737">
        <w:rPr>
          <w:rFonts w:cstheme="minorHAnsi"/>
          <w:b/>
          <w:bCs/>
          <w:sz w:val="22"/>
          <w:szCs w:val="22"/>
        </w:rPr>
        <w:t xml:space="preserve"> - </w:t>
      </w:r>
      <w:r w:rsidR="00491639" w:rsidRPr="00955737">
        <w:rPr>
          <w:rFonts w:cstheme="minorHAnsi"/>
          <w:b/>
          <w:bCs/>
          <w:sz w:val="22"/>
          <w:szCs w:val="22"/>
        </w:rPr>
        <w:t>Do you agree with our position of not changing the Digitalisation licence condition?</w:t>
      </w:r>
      <w:r w:rsidR="00491639" w:rsidRPr="00955737">
        <w:rPr>
          <w:rFonts w:cstheme="minorHAnsi"/>
          <w:b/>
          <w:bCs/>
          <w:sz w:val="22"/>
          <w:szCs w:val="22"/>
        </w:rPr>
        <w:tab/>
      </w:r>
    </w:p>
    <w:p w14:paraId="063C440C" w14:textId="5384AEF2" w:rsidR="00491639" w:rsidRDefault="00491639" w:rsidP="00491639">
      <w:pPr>
        <w:rPr>
          <w:rFonts w:cstheme="minorHAnsi"/>
          <w:sz w:val="22"/>
          <w:szCs w:val="22"/>
        </w:rPr>
      </w:pPr>
      <w:r w:rsidRPr="00955737">
        <w:rPr>
          <w:rFonts w:cstheme="minorHAnsi"/>
          <w:sz w:val="22"/>
          <w:szCs w:val="22"/>
        </w:rPr>
        <w:t xml:space="preserve">Yes, </w:t>
      </w:r>
      <w:r w:rsidR="006D78DC" w:rsidRPr="00955737">
        <w:rPr>
          <w:rFonts w:cstheme="minorHAnsi"/>
          <w:sz w:val="22"/>
          <w:szCs w:val="22"/>
        </w:rPr>
        <w:t>we</w:t>
      </w:r>
      <w:r w:rsidRPr="00955737">
        <w:rPr>
          <w:rFonts w:cstheme="minorHAnsi"/>
          <w:sz w:val="22"/>
          <w:szCs w:val="22"/>
        </w:rPr>
        <w:t xml:space="preserve"> believe it</w:t>
      </w:r>
      <w:r w:rsidR="004044B2">
        <w:rPr>
          <w:rFonts w:cstheme="minorHAnsi"/>
          <w:sz w:val="22"/>
          <w:szCs w:val="22"/>
        </w:rPr>
        <w:t xml:space="preserve"> i</w:t>
      </w:r>
      <w:r w:rsidRPr="00955737">
        <w:rPr>
          <w:rFonts w:cstheme="minorHAnsi"/>
          <w:sz w:val="22"/>
          <w:szCs w:val="22"/>
        </w:rPr>
        <w:t xml:space="preserve">s an important </w:t>
      </w:r>
      <w:r w:rsidR="004044B2">
        <w:rPr>
          <w:rFonts w:cstheme="minorHAnsi"/>
          <w:sz w:val="22"/>
          <w:szCs w:val="22"/>
        </w:rPr>
        <w:t xml:space="preserve">licence </w:t>
      </w:r>
      <w:r w:rsidRPr="00955737">
        <w:rPr>
          <w:rFonts w:cstheme="minorHAnsi"/>
          <w:sz w:val="22"/>
          <w:szCs w:val="22"/>
        </w:rPr>
        <w:t>condition. However, the D</w:t>
      </w:r>
      <w:r w:rsidR="004044B2">
        <w:rPr>
          <w:rFonts w:cstheme="minorHAnsi"/>
          <w:sz w:val="22"/>
          <w:szCs w:val="22"/>
        </w:rPr>
        <w:t xml:space="preserve">ata </w:t>
      </w:r>
      <w:r w:rsidRPr="00955737">
        <w:rPr>
          <w:rFonts w:cstheme="minorHAnsi"/>
          <w:sz w:val="22"/>
          <w:szCs w:val="22"/>
        </w:rPr>
        <w:t>B</w:t>
      </w:r>
      <w:r w:rsidR="004044B2">
        <w:rPr>
          <w:rFonts w:cstheme="minorHAnsi"/>
          <w:sz w:val="22"/>
          <w:szCs w:val="22"/>
        </w:rPr>
        <w:t xml:space="preserve">est </w:t>
      </w:r>
      <w:r w:rsidRPr="00955737">
        <w:rPr>
          <w:rFonts w:cstheme="minorHAnsi"/>
          <w:sz w:val="22"/>
          <w:szCs w:val="22"/>
        </w:rPr>
        <w:t>P</w:t>
      </w:r>
      <w:r w:rsidR="004044B2">
        <w:rPr>
          <w:rFonts w:cstheme="minorHAnsi"/>
          <w:sz w:val="22"/>
          <w:szCs w:val="22"/>
        </w:rPr>
        <w:t>ractice</w:t>
      </w:r>
      <w:r w:rsidRPr="00955737">
        <w:rPr>
          <w:rFonts w:cstheme="minorHAnsi"/>
          <w:sz w:val="22"/>
          <w:szCs w:val="22"/>
        </w:rPr>
        <w:t xml:space="preserve"> </w:t>
      </w:r>
      <w:r w:rsidR="00526359">
        <w:rPr>
          <w:rFonts w:cstheme="minorHAnsi"/>
          <w:sz w:val="22"/>
          <w:szCs w:val="22"/>
        </w:rPr>
        <w:t xml:space="preserve">Guidance </w:t>
      </w:r>
      <w:r w:rsidRPr="00955737">
        <w:rPr>
          <w:rFonts w:cstheme="minorHAnsi"/>
          <w:sz w:val="22"/>
          <w:szCs w:val="22"/>
        </w:rPr>
        <w:t>needs to be updated in terms of its requirements</w:t>
      </w:r>
      <w:r w:rsidR="00D62310">
        <w:rPr>
          <w:rFonts w:cstheme="minorHAnsi"/>
          <w:sz w:val="22"/>
          <w:szCs w:val="22"/>
        </w:rPr>
        <w:t>,</w:t>
      </w:r>
      <w:r w:rsidRPr="00955737">
        <w:rPr>
          <w:rFonts w:cstheme="minorHAnsi"/>
          <w:sz w:val="22"/>
          <w:szCs w:val="22"/>
        </w:rPr>
        <w:t xml:space="preserve"> e.g. </w:t>
      </w:r>
      <w:r w:rsidR="00526359">
        <w:rPr>
          <w:rFonts w:cstheme="minorHAnsi"/>
          <w:sz w:val="22"/>
          <w:szCs w:val="22"/>
        </w:rPr>
        <w:t xml:space="preserve">on </w:t>
      </w:r>
      <w:r w:rsidRPr="00955737">
        <w:rPr>
          <w:rFonts w:cstheme="minorHAnsi"/>
          <w:sz w:val="22"/>
          <w:szCs w:val="22"/>
        </w:rPr>
        <w:t>Risk</w:t>
      </w:r>
      <w:r w:rsidR="00D62310">
        <w:rPr>
          <w:rFonts w:cstheme="minorHAnsi"/>
          <w:sz w:val="22"/>
          <w:szCs w:val="22"/>
        </w:rPr>
        <w:t xml:space="preserve"> we would question whether </w:t>
      </w:r>
      <w:r w:rsidRPr="00955737">
        <w:rPr>
          <w:rFonts w:cstheme="minorHAnsi"/>
          <w:sz w:val="22"/>
          <w:szCs w:val="22"/>
        </w:rPr>
        <w:t xml:space="preserve">the risk mitigation steps </w:t>
      </w:r>
      <w:r w:rsidR="00D62310">
        <w:rPr>
          <w:rFonts w:cstheme="minorHAnsi"/>
          <w:sz w:val="22"/>
          <w:szCs w:val="22"/>
        </w:rPr>
        <w:t xml:space="preserve">are </w:t>
      </w:r>
      <w:r w:rsidRPr="00955737">
        <w:rPr>
          <w:rFonts w:cstheme="minorHAnsi"/>
          <w:sz w:val="22"/>
          <w:szCs w:val="22"/>
        </w:rPr>
        <w:t xml:space="preserve">still effective </w:t>
      </w:r>
      <w:r w:rsidR="00D62310">
        <w:rPr>
          <w:rFonts w:cstheme="minorHAnsi"/>
          <w:sz w:val="22"/>
          <w:szCs w:val="22"/>
        </w:rPr>
        <w:t xml:space="preserve">given the availability of diverse data, </w:t>
      </w:r>
      <w:r w:rsidRPr="00955737">
        <w:rPr>
          <w:rFonts w:cstheme="minorHAnsi"/>
          <w:sz w:val="22"/>
          <w:szCs w:val="22"/>
        </w:rPr>
        <w:t>reverse engineering analysis or integrating sensitised data towards breaching security, privacy and/or control.</w:t>
      </w:r>
    </w:p>
    <w:p w14:paraId="026156BC" w14:textId="77777777" w:rsidR="006D78DC" w:rsidRPr="00955737" w:rsidRDefault="006D78DC" w:rsidP="00955737">
      <w:pPr>
        <w:rPr>
          <w:rFonts w:cstheme="minorHAnsi"/>
          <w:b/>
          <w:bCs/>
          <w:sz w:val="22"/>
          <w:szCs w:val="22"/>
        </w:rPr>
      </w:pPr>
    </w:p>
    <w:p w14:paraId="1338A361" w14:textId="77777777" w:rsidR="00652C74" w:rsidRPr="00955737" w:rsidRDefault="006D78DC" w:rsidP="00652C74">
      <w:pPr>
        <w:spacing w:after="120"/>
        <w:rPr>
          <w:rFonts w:cstheme="minorHAnsi"/>
          <w:b/>
          <w:bCs/>
          <w:sz w:val="22"/>
          <w:szCs w:val="22"/>
        </w:rPr>
      </w:pPr>
      <w:r w:rsidRPr="00955737">
        <w:rPr>
          <w:rFonts w:cstheme="minorHAnsi"/>
          <w:b/>
          <w:bCs/>
          <w:sz w:val="22"/>
          <w:szCs w:val="22"/>
        </w:rPr>
        <w:t xml:space="preserve">Question </w:t>
      </w:r>
      <w:r w:rsidR="00491639" w:rsidRPr="00955737">
        <w:rPr>
          <w:rFonts w:cstheme="minorHAnsi"/>
          <w:b/>
          <w:bCs/>
          <w:sz w:val="22"/>
          <w:szCs w:val="22"/>
        </w:rPr>
        <w:t>OVQ 37</w:t>
      </w:r>
      <w:r w:rsidRPr="00955737">
        <w:rPr>
          <w:rFonts w:cstheme="minorHAnsi"/>
          <w:b/>
          <w:bCs/>
          <w:sz w:val="22"/>
          <w:szCs w:val="22"/>
        </w:rPr>
        <w:t xml:space="preserve"> - </w:t>
      </w:r>
      <w:r w:rsidR="00491639" w:rsidRPr="00955737">
        <w:rPr>
          <w:rFonts w:cstheme="minorHAnsi"/>
          <w:b/>
          <w:bCs/>
          <w:sz w:val="22"/>
          <w:szCs w:val="22"/>
        </w:rPr>
        <w:t>Do you agree with our proposed approach to the DSI licence condition?</w:t>
      </w:r>
    </w:p>
    <w:p w14:paraId="510B41FF" w14:textId="21A61E1F" w:rsidR="00491639" w:rsidRDefault="00491639" w:rsidP="00491639">
      <w:pPr>
        <w:rPr>
          <w:rFonts w:cstheme="minorHAnsi"/>
          <w:sz w:val="22"/>
          <w:szCs w:val="22"/>
        </w:rPr>
      </w:pPr>
      <w:r w:rsidRPr="00955737">
        <w:rPr>
          <w:rFonts w:cstheme="minorHAnsi"/>
          <w:sz w:val="22"/>
          <w:szCs w:val="22"/>
        </w:rPr>
        <w:t>The D</w:t>
      </w:r>
      <w:r w:rsidR="00D62310">
        <w:rPr>
          <w:rFonts w:cstheme="minorHAnsi"/>
          <w:sz w:val="22"/>
          <w:szCs w:val="22"/>
        </w:rPr>
        <w:t xml:space="preserve">ata </w:t>
      </w:r>
      <w:r w:rsidRPr="00955737">
        <w:rPr>
          <w:rFonts w:cstheme="minorHAnsi"/>
          <w:sz w:val="22"/>
          <w:szCs w:val="22"/>
        </w:rPr>
        <w:t>S</w:t>
      </w:r>
      <w:r w:rsidR="00D62310">
        <w:rPr>
          <w:rFonts w:cstheme="minorHAnsi"/>
          <w:sz w:val="22"/>
          <w:szCs w:val="22"/>
        </w:rPr>
        <w:t xml:space="preserve">haring </w:t>
      </w:r>
      <w:r w:rsidRPr="00955737">
        <w:rPr>
          <w:rFonts w:cstheme="minorHAnsi"/>
          <w:sz w:val="22"/>
          <w:szCs w:val="22"/>
        </w:rPr>
        <w:t>I</w:t>
      </w:r>
      <w:r w:rsidR="00D62310">
        <w:rPr>
          <w:rFonts w:cstheme="minorHAnsi"/>
          <w:sz w:val="22"/>
          <w:szCs w:val="22"/>
        </w:rPr>
        <w:t>nfrastructure</w:t>
      </w:r>
      <w:r w:rsidRPr="00955737">
        <w:rPr>
          <w:rFonts w:cstheme="minorHAnsi"/>
          <w:sz w:val="22"/>
          <w:szCs w:val="22"/>
        </w:rPr>
        <w:t xml:space="preserve"> is a strategic initiative aligned with tRESP and accelerating the integration of enabling digital services/technologies. However, the interoperability and standardisation requirements need to be lead by an agency with experience and independence in </w:t>
      </w:r>
      <w:r w:rsidRPr="00955737">
        <w:rPr>
          <w:rFonts w:cstheme="minorHAnsi"/>
          <w:sz w:val="22"/>
          <w:szCs w:val="22"/>
        </w:rPr>
        <w:lastRenderedPageBreak/>
        <w:t xml:space="preserve">terms of secure data </w:t>
      </w:r>
      <w:r w:rsidR="00652C74" w:rsidRPr="00955737">
        <w:rPr>
          <w:rFonts w:cstheme="minorHAnsi"/>
          <w:sz w:val="22"/>
          <w:szCs w:val="22"/>
        </w:rPr>
        <w:t>management</w:t>
      </w:r>
      <w:r w:rsidRPr="00955737">
        <w:rPr>
          <w:rFonts w:cstheme="minorHAnsi"/>
          <w:sz w:val="22"/>
          <w:szCs w:val="22"/>
        </w:rPr>
        <w:t xml:space="preserve"> and information architectures e.g. NPSA, NCSC. Its integral to design for security from the outset and resource needs to be made available across both cybersecurity and D</w:t>
      </w:r>
      <w:r w:rsidR="00D62310">
        <w:rPr>
          <w:rFonts w:cstheme="minorHAnsi"/>
          <w:sz w:val="22"/>
          <w:szCs w:val="22"/>
        </w:rPr>
        <w:t xml:space="preserve">ata and </w:t>
      </w:r>
      <w:r w:rsidRPr="00955737">
        <w:rPr>
          <w:rFonts w:cstheme="minorHAnsi"/>
          <w:sz w:val="22"/>
          <w:szCs w:val="22"/>
        </w:rPr>
        <w:t>D</w:t>
      </w:r>
      <w:r w:rsidR="00D62310">
        <w:rPr>
          <w:rFonts w:cstheme="minorHAnsi"/>
          <w:sz w:val="22"/>
          <w:szCs w:val="22"/>
        </w:rPr>
        <w:t>igital</w:t>
      </w:r>
      <w:r w:rsidRPr="00955737">
        <w:rPr>
          <w:rFonts w:cstheme="minorHAnsi"/>
          <w:sz w:val="22"/>
          <w:szCs w:val="22"/>
        </w:rPr>
        <w:t xml:space="preserve"> investments.</w:t>
      </w:r>
    </w:p>
    <w:p w14:paraId="5D4D23B7" w14:textId="77777777" w:rsidR="00D62310" w:rsidRPr="00955737" w:rsidRDefault="00D62310" w:rsidP="00491639">
      <w:pPr>
        <w:rPr>
          <w:rFonts w:cstheme="minorHAnsi"/>
          <w:sz w:val="22"/>
          <w:szCs w:val="22"/>
        </w:rPr>
      </w:pPr>
    </w:p>
    <w:p w14:paraId="740D0B7C" w14:textId="77777777" w:rsidR="006D78DC" w:rsidRPr="00955737" w:rsidRDefault="006D78DC" w:rsidP="00955737">
      <w:pPr>
        <w:rPr>
          <w:rFonts w:cstheme="minorHAnsi"/>
          <w:b/>
          <w:bCs/>
          <w:sz w:val="22"/>
          <w:szCs w:val="22"/>
        </w:rPr>
      </w:pPr>
    </w:p>
    <w:p w14:paraId="5ED9A8C0" w14:textId="77777777" w:rsidR="006D78DC" w:rsidRPr="00955737" w:rsidRDefault="006D78DC" w:rsidP="00652C74">
      <w:pPr>
        <w:spacing w:after="120"/>
        <w:rPr>
          <w:rFonts w:cstheme="minorHAnsi"/>
          <w:b/>
          <w:bCs/>
          <w:sz w:val="22"/>
          <w:szCs w:val="22"/>
        </w:rPr>
      </w:pPr>
      <w:r w:rsidRPr="00955737">
        <w:rPr>
          <w:rFonts w:cstheme="minorHAnsi"/>
          <w:b/>
          <w:bCs/>
          <w:sz w:val="22"/>
          <w:szCs w:val="22"/>
        </w:rPr>
        <w:t xml:space="preserve">Question </w:t>
      </w:r>
      <w:r w:rsidR="00491639" w:rsidRPr="00955737">
        <w:rPr>
          <w:rFonts w:cstheme="minorHAnsi"/>
          <w:b/>
          <w:bCs/>
          <w:sz w:val="22"/>
          <w:szCs w:val="22"/>
        </w:rPr>
        <w:t>OVQ 38</w:t>
      </w:r>
      <w:r w:rsidRPr="00955737">
        <w:rPr>
          <w:rFonts w:cstheme="minorHAnsi"/>
          <w:b/>
          <w:bCs/>
          <w:sz w:val="22"/>
          <w:szCs w:val="22"/>
        </w:rPr>
        <w:t xml:space="preserve"> - </w:t>
      </w:r>
      <w:r w:rsidR="00491639" w:rsidRPr="00955737">
        <w:rPr>
          <w:rFonts w:cstheme="minorHAnsi"/>
          <w:b/>
          <w:bCs/>
          <w:sz w:val="22"/>
          <w:szCs w:val="22"/>
        </w:rPr>
        <w:t>Do you agree with our proposed design of the Digitalisation re-opener?</w:t>
      </w:r>
    </w:p>
    <w:p w14:paraId="4B88D589" w14:textId="39C3F4EC" w:rsidR="00491639" w:rsidRPr="00955737" w:rsidRDefault="006D78DC" w:rsidP="00491639">
      <w:pPr>
        <w:rPr>
          <w:rFonts w:cstheme="minorHAnsi"/>
          <w:sz w:val="22"/>
          <w:szCs w:val="22"/>
        </w:rPr>
      </w:pPr>
      <w:r w:rsidRPr="00955737">
        <w:rPr>
          <w:rFonts w:cstheme="minorHAnsi"/>
          <w:sz w:val="22"/>
          <w:szCs w:val="22"/>
        </w:rPr>
        <w:t>We</w:t>
      </w:r>
      <w:r w:rsidR="00491639" w:rsidRPr="00955737">
        <w:rPr>
          <w:rFonts w:cstheme="minorHAnsi"/>
          <w:sz w:val="22"/>
          <w:szCs w:val="22"/>
        </w:rPr>
        <w:t xml:space="preserve"> do not believe that 1 reopener is sufficient given the need for SPEN to be responsive with emergent and collaborative learning with NESO, NDTP and other operators. New integration architecture standards are being created and it</w:t>
      </w:r>
      <w:r w:rsidR="004A2655">
        <w:rPr>
          <w:rFonts w:cstheme="minorHAnsi"/>
          <w:sz w:val="22"/>
          <w:szCs w:val="22"/>
        </w:rPr>
        <w:t xml:space="preserve"> i</w:t>
      </w:r>
      <w:r w:rsidR="00491639" w:rsidRPr="00955737">
        <w:rPr>
          <w:rFonts w:cstheme="minorHAnsi"/>
          <w:sz w:val="22"/>
          <w:szCs w:val="22"/>
        </w:rPr>
        <w:t>s vital to enable update, adaption or adoption of new requirements and enabling technologies.</w:t>
      </w:r>
    </w:p>
    <w:p w14:paraId="511257BF" w14:textId="77777777" w:rsidR="00BE7CE6" w:rsidRDefault="00BE7CE6" w:rsidP="00491639">
      <w:pPr>
        <w:rPr>
          <w:rFonts w:cstheme="minorHAnsi"/>
        </w:rPr>
      </w:pPr>
    </w:p>
    <w:p w14:paraId="72322A8E" w14:textId="3FB328DC" w:rsidR="00955737" w:rsidRDefault="00955737" w:rsidP="00ED3787">
      <w:pPr>
        <w:pStyle w:val="Heading1"/>
        <w:numPr>
          <w:ilvl w:val="0"/>
          <w:numId w:val="15"/>
        </w:numPr>
        <w:spacing w:after="240"/>
        <w:ind w:left="431" w:hanging="431"/>
      </w:pPr>
      <w:bookmarkStart w:id="6" w:name="_Toc206691367"/>
      <w:r>
        <w:t>Sustainability</w:t>
      </w:r>
      <w:bookmarkEnd w:id="6"/>
      <w:r>
        <w:t xml:space="preserve"> </w:t>
      </w:r>
    </w:p>
    <w:p w14:paraId="04CB7FAC" w14:textId="2C02F7DF" w:rsidR="00955737" w:rsidRPr="00955737" w:rsidRDefault="00955737" w:rsidP="00374F74">
      <w:pPr>
        <w:keepNext/>
        <w:keepLines/>
        <w:spacing w:after="120"/>
        <w:rPr>
          <w:b/>
          <w:bCs/>
          <w:color w:val="000000" w:themeColor="text1"/>
          <w:sz w:val="22"/>
          <w:szCs w:val="22"/>
        </w:rPr>
      </w:pPr>
      <w:r w:rsidRPr="00955737">
        <w:rPr>
          <w:b/>
          <w:bCs/>
          <w:color w:val="000000" w:themeColor="text1"/>
          <w:sz w:val="22"/>
          <w:szCs w:val="22"/>
        </w:rPr>
        <w:t>Question ETQ 11 - Do you have any views on our proposed approach to biodiversity funding, notably whether it is appropriate or not for consumers to fund biodiversity outputs beyond legislative requirements?</w:t>
      </w:r>
    </w:p>
    <w:p w14:paraId="55013D80" w14:textId="42F4EE83" w:rsidR="00955737" w:rsidRPr="00955737" w:rsidRDefault="004A2655" w:rsidP="00955737">
      <w:pPr>
        <w:rPr>
          <w:color w:val="000000" w:themeColor="text1"/>
          <w:sz w:val="22"/>
          <w:szCs w:val="22"/>
        </w:rPr>
      </w:pPr>
      <w:r>
        <w:rPr>
          <w:color w:val="000000" w:themeColor="text1"/>
          <w:sz w:val="22"/>
          <w:szCs w:val="22"/>
        </w:rPr>
        <w:t xml:space="preserve">We believe that </w:t>
      </w:r>
      <w:r w:rsidR="00955737" w:rsidRPr="00955737">
        <w:rPr>
          <w:color w:val="000000" w:themeColor="text1"/>
          <w:sz w:val="22"/>
          <w:szCs w:val="22"/>
        </w:rPr>
        <w:t xml:space="preserve">Ofgem should consider the impact on biodiversity </w:t>
      </w:r>
      <w:r w:rsidR="00DC7466">
        <w:rPr>
          <w:color w:val="000000" w:themeColor="text1"/>
          <w:sz w:val="22"/>
          <w:szCs w:val="22"/>
        </w:rPr>
        <w:t>not just for</w:t>
      </w:r>
      <w:r w:rsidR="00955737" w:rsidRPr="00955737">
        <w:rPr>
          <w:color w:val="000000" w:themeColor="text1"/>
          <w:sz w:val="22"/>
          <w:szCs w:val="22"/>
        </w:rPr>
        <w:t xml:space="preserve"> planning consented projects.</w:t>
      </w:r>
    </w:p>
    <w:p w14:paraId="477745DD" w14:textId="77777777" w:rsidR="00955737" w:rsidRPr="00955737" w:rsidRDefault="00955737" w:rsidP="00955737">
      <w:pPr>
        <w:rPr>
          <w:color w:val="000000" w:themeColor="text1"/>
          <w:sz w:val="22"/>
          <w:szCs w:val="22"/>
        </w:rPr>
      </w:pPr>
    </w:p>
    <w:p w14:paraId="0DEDA6C7" w14:textId="5385B9C0" w:rsidR="00955737" w:rsidRPr="00955737" w:rsidRDefault="00955737" w:rsidP="00955737">
      <w:pPr>
        <w:spacing w:after="120"/>
        <w:rPr>
          <w:b/>
          <w:bCs/>
          <w:color w:val="000000" w:themeColor="text1"/>
          <w:sz w:val="22"/>
          <w:szCs w:val="22"/>
        </w:rPr>
      </w:pPr>
      <w:r w:rsidRPr="00955737">
        <w:rPr>
          <w:b/>
          <w:bCs/>
          <w:color w:val="000000" w:themeColor="text1"/>
          <w:sz w:val="22"/>
          <w:szCs w:val="22"/>
        </w:rPr>
        <w:t>Question ETQ 43 - Do you have any views on our proposal to reject these two environmental UMs?</w:t>
      </w:r>
    </w:p>
    <w:p w14:paraId="0F430B78" w14:textId="45E024EA" w:rsidR="00955737" w:rsidRPr="00955737" w:rsidRDefault="00DC7466" w:rsidP="00955737">
      <w:pPr>
        <w:rPr>
          <w:color w:val="000000" w:themeColor="text1"/>
          <w:sz w:val="22"/>
          <w:szCs w:val="22"/>
        </w:rPr>
      </w:pPr>
      <w:r>
        <w:rPr>
          <w:color w:val="000000" w:themeColor="text1"/>
          <w:sz w:val="22"/>
          <w:szCs w:val="22"/>
        </w:rPr>
        <w:t xml:space="preserve">We are concerned about </w:t>
      </w:r>
      <w:r w:rsidR="00955737" w:rsidRPr="00955737">
        <w:rPr>
          <w:color w:val="000000" w:themeColor="text1"/>
          <w:sz w:val="22"/>
          <w:szCs w:val="22"/>
        </w:rPr>
        <w:t>how the additional costs for low carbon construction and technology will be adequately funded</w:t>
      </w:r>
      <w:r>
        <w:rPr>
          <w:color w:val="000000" w:themeColor="text1"/>
          <w:sz w:val="22"/>
          <w:szCs w:val="22"/>
        </w:rPr>
        <w:t>, if the two environment uncertainty mechanisms are rejected. In particular as we believe that</w:t>
      </w:r>
      <w:r w:rsidR="00955737" w:rsidRPr="00955737">
        <w:rPr>
          <w:color w:val="000000" w:themeColor="text1"/>
          <w:sz w:val="22"/>
          <w:szCs w:val="22"/>
        </w:rPr>
        <w:t xml:space="preserve"> innovation funds may not be sufficient to roll out measures across projects at scale. Before the market is sufficiently mature, there are additional costs for such materials and technologies, which, if not sufficiently funded, could mean that SPEN would not be able to meet their approved Net Zero target</w:t>
      </w:r>
      <w:r w:rsidR="00374F74">
        <w:rPr>
          <w:color w:val="000000" w:themeColor="text1"/>
          <w:sz w:val="22"/>
          <w:szCs w:val="22"/>
        </w:rPr>
        <w:t xml:space="preserve"> (which will therefore impact the UK Government’s Net Zero target).</w:t>
      </w:r>
    </w:p>
    <w:p w14:paraId="534EBD6A" w14:textId="77777777" w:rsidR="00955737" w:rsidRPr="00955737" w:rsidRDefault="00955737" w:rsidP="00955737">
      <w:pPr>
        <w:rPr>
          <w:color w:val="000000" w:themeColor="text1"/>
          <w:sz w:val="22"/>
          <w:szCs w:val="22"/>
        </w:rPr>
      </w:pPr>
    </w:p>
    <w:p w14:paraId="3BE02EC5" w14:textId="50BBE67A" w:rsidR="00955737" w:rsidRPr="00955737" w:rsidRDefault="00955737" w:rsidP="00955737">
      <w:pPr>
        <w:spacing w:after="120"/>
        <w:rPr>
          <w:b/>
          <w:bCs/>
          <w:color w:val="000000" w:themeColor="text1"/>
          <w:sz w:val="22"/>
          <w:szCs w:val="22"/>
        </w:rPr>
      </w:pPr>
      <w:r w:rsidRPr="00955737">
        <w:rPr>
          <w:b/>
          <w:bCs/>
          <w:color w:val="000000" w:themeColor="text1"/>
          <w:sz w:val="22"/>
          <w:szCs w:val="22"/>
        </w:rPr>
        <w:t>Question SPTQ 7 - Do you agree with our proposal to reject SPT's Environmental Re-opener?</w:t>
      </w:r>
    </w:p>
    <w:p w14:paraId="660DEFBE" w14:textId="75EE71A2" w:rsidR="00955737" w:rsidRPr="00955737" w:rsidRDefault="00955737" w:rsidP="00955737">
      <w:pPr>
        <w:rPr>
          <w:color w:val="000000" w:themeColor="text1"/>
          <w:sz w:val="22"/>
          <w:szCs w:val="22"/>
        </w:rPr>
      </w:pPr>
      <w:r w:rsidRPr="00955737">
        <w:rPr>
          <w:color w:val="000000" w:themeColor="text1"/>
          <w:sz w:val="22"/>
          <w:szCs w:val="22"/>
        </w:rPr>
        <w:t xml:space="preserve">We noted that Ofgem have </w:t>
      </w:r>
      <w:r w:rsidR="00DC7466">
        <w:rPr>
          <w:color w:val="000000" w:themeColor="text1"/>
          <w:sz w:val="22"/>
          <w:szCs w:val="22"/>
        </w:rPr>
        <w:t xml:space="preserve">proposed to </w:t>
      </w:r>
      <w:r w:rsidRPr="00955737">
        <w:rPr>
          <w:color w:val="000000" w:themeColor="text1"/>
          <w:sz w:val="22"/>
          <w:szCs w:val="22"/>
        </w:rPr>
        <w:t xml:space="preserve">reject the SPT Environmental Re-opener and suggested that environmental legislative and regulatory changes can be covered in the Net Zero Reopener. In order to accommodate this, the current Net Zero Reopener will need to be suitably amended (and potentially re-named). </w:t>
      </w:r>
    </w:p>
    <w:p w14:paraId="12D8C83B" w14:textId="77777777" w:rsidR="00652C74" w:rsidRPr="00955737" w:rsidRDefault="00652C74" w:rsidP="00491639">
      <w:pPr>
        <w:rPr>
          <w:color w:val="000000" w:themeColor="text1"/>
          <w:sz w:val="20"/>
          <w:szCs w:val="20"/>
        </w:rPr>
      </w:pPr>
    </w:p>
    <w:sectPr w:rsidR="00652C74" w:rsidRPr="00955737" w:rsidSect="003A6F15">
      <w:footerReference w:type="even" r:id="rId13"/>
      <w:footerReference w:type="default" r:id="rId14"/>
      <w:pgSz w:w="11900" w:h="16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5BCC23" w15:done="0"/>
  <w15:commentEx w15:paraId="308A2B2D" w15:done="0"/>
  <w15:commentEx w15:paraId="76BE448C" w15:paraIdParent="308A2B2D" w15:done="0"/>
  <w15:commentEx w15:paraId="565DF6D8" w15:done="0"/>
  <w15:commentEx w15:paraId="7BAA30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35844D" w16cex:dateUtc="2025-08-22T17:02:00Z"/>
  <w16cex:commentExtensible w16cex:durableId="565DF6D8">
    <w16cex:extLst>
      <w16:ext w16:uri="{CE6994B0-6A32-4C9F-8C6B-6E91EDA988CE}">
        <cr:reactions xmlns:cr="http://schemas.microsoft.com/office/comments/2020/reactions">
          <cr:reaction reactionType="1">
            <cr:reactionInfo dateUtc="2025-08-22T17:04:27Z">
              <cr:user userId="S::David.Flynn@glasgow.ac.uk::454a2eec-348c-4b4f-b25a-417da3520339" userProvider="AD" userName="David Flyn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5BCC23" w16cid:durableId="005BCC23"/>
  <w16cid:commentId w16cid:paraId="308A2B2D" w16cid:durableId="308A2B2D"/>
  <w16cid:commentId w16cid:paraId="76BE448C" w16cid:durableId="6535844D"/>
  <w16cid:commentId w16cid:paraId="565DF6D8" w16cid:durableId="565DF6D8"/>
  <w16cid:commentId w16cid:paraId="7BAA3069" w16cid:durableId="7BAA306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144BE" w14:textId="77777777" w:rsidR="00F71F6D" w:rsidRDefault="00F71F6D" w:rsidP="003A6F15">
      <w:r>
        <w:separator/>
      </w:r>
    </w:p>
  </w:endnote>
  <w:endnote w:type="continuationSeparator" w:id="0">
    <w:p w14:paraId="27CCF4C8" w14:textId="77777777" w:rsidR="00F71F6D" w:rsidRDefault="00F71F6D" w:rsidP="003A6F15">
      <w:r>
        <w:continuationSeparator/>
      </w:r>
    </w:p>
  </w:endnote>
  <w:endnote w:type="continuationNotice" w:id="1">
    <w:p w14:paraId="6DB67CAA" w14:textId="77777777" w:rsidR="00F71F6D" w:rsidRDefault="00F71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 w:name="IberPangea Text Light">
    <w:altName w:val="Calibri"/>
    <w:charset w:val="00"/>
    <w:family w:val="swiss"/>
    <w:pitch w:val="variable"/>
    <w:sig w:usb0="A10002FF" w:usb1="5201E0FB" w:usb2="00000008" w:usb3="00000000" w:csb0="000001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215883391"/>
      <w:docPartObj>
        <w:docPartGallery w:val="Page Numbers (Bottom of Page)"/>
        <w:docPartUnique/>
      </w:docPartObj>
    </w:sdtPr>
    <w:sdtContent>
      <w:p w14:paraId="151B0DD9" w14:textId="72D3C585" w:rsidR="00F71F6D" w:rsidRDefault="00F71F6D" w:rsidP="003A6F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920EB91" w14:textId="77777777" w:rsidR="00F71F6D" w:rsidRDefault="00F71F6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9999973"/>
      <w:docPartObj>
        <w:docPartGallery w:val="Page Numbers (Bottom of Page)"/>
        <w:docPartUnique/>
      </w:docPartObj>
    </w:sdtPr>
    <w:sdtContent>
      <w:p w14:paraId="039337A8" w14:textId="4C2F8A7D" w:rsidR="00F71F6D" w:rsidRDefault="00F71F6D" w:rsidP="003A6F1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F6335">
          <w:rPr>
            <w:rStyle w:val="PageNumber"/>
            <w:noProof/>
          </w:rPr>
          <w:t>2</w:t>
        </w:r>
        <w:r>
          <w:rPr>
            <w:rStyle w:val="PageNumber"/>
          </w:rPr>
          <w:fldChar w:fldCharType="end"/>
        </w:r>
      </w:p>
    </w:sdtContent>
  </w:sdt>
  <w:p w14:paraId="61E3CFF5" w14:textId="77777777" w:rsidR="00F71F6D" w:rsidRDefault="00F71F6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319FD" w14:textId="77777777" w:rsidR="00F71F6D" w:rsidRDefault="00F71F6D" w:rsidP="003A6F15">
      <w:r>
        <w:separator/>
      </w:r>
    </w:p>
  </w:footnote>
  <w:footnote w:type="continuationSeparator" w:id="0">
    <w:p w14:paraId="19963097" w14:textId="77777777" w:rsidR="00F71F6D" w:rsidRDefault="00F71F6D" w:rsidP="003A6F15">
      <w:r>
        <w:continuationSeparator/>
      </w:r>
    </w:p>
  </w:footnote>
  <w:footnote w:type="continuationNotice" w:id="1">
    <w:p w14:paraId="7D80A586" w14:textId="77777777" w:rsidR="00F71F6D" w:rsidRDefault="00F71F6D"/>
  </w:footnote>
  <w:footnote w:id="2">
    <w:p w14:paraId="2E69D126" w14:textId="26763128" w:rsidR="00F71F6D" w:rsidRDefault="00F71F6D">
      <w:pPr>
        <w:pStyle w:val="FootnoteText"/>
      </w:pPr>
      <w:r>
        <w:rPr>
          <w:rStyle w:val="FootnoteReference"/>
        </w:rPr>
        <w:footnoteRef/>
      </w:r>
      <w:r>
        <w:t xml:space="preserve"> </w:t>
      </w:r>
      <w:r w:rsidRPr="00D8693C">
        <w:t>See pages 97-107 of the Environmental Action Plan appendix to SPEN’s T3 Business Plan. In particular, the final two paragraphs of page 98, the Project Planning and Feasibility Support case study on page 99, Section 2 of Table 36 on page 102, Section 2 of Table 37 on page 104 and point 2 of the Measuring Impact section on page 106</w:t>
      </w:r>
      <w: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D5E49"/>
    <w:multiLevelType w:val="hybridMultilevel"/>
    <w:tmpl w:val="9C142792"/>
    <w:lvl w:ilvl="0" w:tplc="59269724">
      <w:start w:val="1"/>
      <w:numFmt w:val="bullet"/>
      <w:lvlText w:val="·"/>
      <w:lvlJc w:val="left"/>
      <w:pPr>
        <w:ind w:left="720" w:hanging="360"/>
      </w:pPr>
      <w:rPr>
        <w:rFonts w:ascii="Symbol" w:hAnsi="Symbol" w:hint="default"/>
      </w:rPr>
    </w:lvl>
    <w:lvl w:ilvl="1" w:tplc="EB4C60D6">
      <w:start w:val="1"/>
      <w:numFmt w:val="bullet"/>
      <w:lvlText w:val="o"/>
      <w:lvlJc w:val="left"/>
      <w:pPr>
        <w:ind w:left="1440" w:hanging="360"/>
      </w:pPr>
      <w:rPr>
        <w:rFonts w:ascii="Courier New" w:hAnsi="Courier New" w:hint="default"/>
      </w:rPr>
    </w:lvl>
    <w:lvl w:ilvl="2" w:tplc="57C47110">
      <w:start w:val="1"/>
      <w:numFmt w:val="bullet"/>
      <w:lvlText w:val=""/>
      <w:lvlJc w:val="left"/>
      <w:pPr>
        <w:ind w:left="2160" w:hanging="360"/>
      </w:pPr>
      <w:rPr>
        <w:rFonts w:ascii="Wingdings" w:hAnsi="Wingdings" w:hint="default"/>
      </w:rPr>
    </w:lvl>
    <w:lvl w:ilvl="3" w:tplc="146006CE">
      <w:start w:val="1"/>
      <w:numFmt w:val="bullet"/>
      <w:lvlText w:val=""/>
      <w:lvlJc w:val="left"/>
      <w:pPr>
        <w:ind w:left="2880" w:hanging="360"/>
      </w:pPr>
      <w:rPr>
        <w:rFonts w:ascii="Symbol" w:hAnsi="Symbol" w:hint="default"/>
      </w:rPr>
    </w:lvl>
    <w:lvl w:ilvl="4" w:tplc="84A07356">
      <w:start w:val="1"/>
      <w:numFmt w:val="bullet"/>
      <w:lvlText w:val="o"/>
      <w:lvlJc w:val="left"/>
      <w:pPr>
        <w:ind w:left="3600" w:hanging="360"/>
      </w:pPr>
      <w:rPr>
        <w:rFonts w:ascii="Courier New" w:hAnsi="Courier New" w:hint="default"/>
      </w:rPr>
    </w:lvl>
    <w:lvl w:ilvl="5" w:tplc="1354E66C">
      <w:start w:val="1"/>
      <w:numFmt w:val="bullet"/>
      <w:lvlText w:val=""/>
      <w:lvlJc w:val="left"/>
      <w:pPr>
        <w:ind w:left="4320" w:hanging="360"/>
      </w:pPr>
      <w:rPr>
        <w:rFonts w:ascii="Wingdings" w:hAnsi="Wingdings" w:hint="default"/>
      </w:rPr>
    </w:lvl>
    <w:lvl w:ilvl="6" w:tplc="5CC8BEAC">
      <w:start w:val="1"/>
      <w:numFmt w:val="bullet"/>
      <w:lvlText w:val=""/>
      <w:lvlJc w:val="left"/>
      <w:pPr>
        <w:ind w:left="5040" w:hanging="360"/>
      </w:pPr>
      <w:rPr>
        <w:rFonts w:ascii="Symbol" w:hAnsi="Symbol" w:hint="default"/>
      </w:rPr>
    </w:lvl>
    <w:lvl w:ilvl="7" w:tplc="7938B926">
      <w:start w:val="1"/>
      <w:numFmt w:val="bullet"/>
      <w:lvlText w:val="o"/>
      <w:lvlJc w:val="left"/>
      <w:pPr>
        <w:ind w:left="5760" w:hanging="360"/>
      </w:pPr>
      <w:rPr>
        <w:rFonts w:ascii="Courier New" w:hAnsi="Courier New" w:hint="default"/>
      </w:rPr>
    </w:lvl>
    <w:lvl w:ilvl="8" w:tplc="6E484FF4">
      <w:start w:val="1"/>
      <w:numFmt w:val="bullet"/>
      <w:lvlText w:val=""/>
      <w:lvlJc w:val="left"/>
      <w:pPr>
        <w:ind w:left="6480" w:hanging="360"/>
      </w:pPr>
      <w:rPr>
        <w:rFonts w:ascii="Wingdings" w:hAnsi="Wingdings" w:hint="default"/>
      </w:rPr>
    </w:lvl>
  </w:abstractNum>
  <w:abstractNum w:abstractNumId="1">
    <w:nsid w:val="17B4CC0F"/>
    <w:multiLevelType w:val="hybridMultilevel"/>
    <w:tmpl w:val="60200412"/>
    <w:lvl w:ilvl="0" w:tplc="A420E4B0">
      <w:start w:val="1"/>
      <w:numFmt w:val="bullet"/>
      <w:lvlText w:val="·"/>
      <w:lvlJc w:val="left"/>
      <w:pPr>
        <w:ind w:left="720" w:hanging="360"/>
      </w:pPr>
      <w:rPr>
        <w:rFonts w:ascii="Symbol" w:hAnsi="Symbol" w:hint="default"/>
      </w:rPr>
    </w:lvl>
    <w:lvl w:ilvl="1" w:tplc="BEC2BAEA">
      <w:start w:val="1"/>
      <w:numFmt w:val="bullet"/>
      <w:lvlText w:val="o"/>
      <w:lvlJc w:val="left"/>
      <w:pPr>
        <w:ind w:left="1440" w:hanging="360"/>
      </w:pPr>
      <w:rPr>
        <w:rFonts w:ascii="Courier New" w:hAnsi="Courier New" w:hint="default"/>
      </w:rPr>
    </w:lvl>
    <w:lvl w:ilvl="2" w:tplc="2482EEB8">
      <w:start w:val="1"/>
      <w:numFmt w:val="bullet"/>
      <w:lvlText w:val=""/>
      <w:lvlJc w:val="left"/>
      <w:pPr>
        <w:ind w:left="2160" w:hanging="360"/>
      </w:pPr>
      <w:rPr>
        <w:rFonts w:ascii="Wingdings" w:hAnsi="Wingdings" w:hint="default"/>
      </w:rPr>
    </w:lvl>
    <w:lvl w:ilvl="3" w:tplc="C3588E7C">
      <w:start w:val="1"/>
      <w:numFmt w:val="bullet"/>
      <w:lvlText w:val=""/>
      <w:lvlJc w:val="left"/>
      <w:pPr>
        <w:ind w:left="2880" w:hanging="360"/>
      </w:pPr>
      <w:rPr>
        <w:rFonts w:ascii="Symbol" w:hAnsi="Symbol" w:hint="default"/>
      </w:rPr>
    </w:lvl>
    <w:lvl w:ilvl="4" w:tplc="97E6EB26">
      <w:start w:val="1"/>
      <w:numFmt w:val="bullet"/>
      <w:lvlText w:val="o"/>
      <w:lvlJc w:val="left"/>
      <w:pPr>
        <w:ind w:left="3600" w:hanging="360"/>
      </w:pPr>
      <w:rPr>
        <w:rFonts w:ascii="Courier New" w:hAnsi="Courier New" w:hint="default"/>
      </w:rPr>
    </w:lvl>
    <w:lvl w:ilvl="5" w:tplc="CCEC0DD2">
      <w:start w:val="1"/>
      <w:numFmt w:val="bullet"/>
      <w:lvlText w:val=""/>
      <w:lvlJc w:val="left"/>
      <w:pPr>
        <w:ind w:left="4320" w:hanging="360"/>
      </w:pPr>
      <w:rPr>
        <w:rFonts w:ascii="Wingdings" w:hAnsi="Wingdings" w:hint="default"/>
      </w:rPr>
    </w:lvl>
    <w:lvl w:ilvl="6" w:tplc="99409D3A">
      <w:start w:val="1"/>
      <w:numFmt w:val="bullet"/>
      <w:lvlText w:val=""/>
      <w:lvlJc w:val="left"/>
      <w:pPr>
        <w:ind w:left="5040" w:hanging="360"/>
      </w:pPr>
      <w:rPr>
        <w:rFonts w:ascii="Symbol" w:hAnsi="Symbol" w:hint="default"/>
      </w:rPr>
    </w:lvl>
    <w:lvl w:ilvl="7" w:tplc="6BC832B2">
      <w:start w:val="1"/>
      <w:numFmt w:val="bullet"/>
      <w:lvlText w:val="o"/>
      <w:lvlJc w:val="left"/>
      <w:pPr>
        <w:ind w:left="5760" w:hanging="360"/>
      </w:pPr>
      <w:rPr>
        <w:rFonts w:ascii="Courier New" w:hAnsi="Courier New" w:hint="default"/>
      </w:rPr>
    </w:lvl>
    <w:lvl w:ilvl="8" w:tplc="2FFAFE6E">
      <w:start w:val="1"/>
      <w:numFmt w:val="bullet"/>
      <w:lvlText w:val=""/>
      <w:lvlJc w:val="left"/>
      <w:pPr>
        <w:ind w:left="6480" w:hanging="360"/>
      </w:pPr>
      <w:rPr>
        <w:rFonts w:ascii="Wingdings" w:hAnsi="Wingdings" w:hint="default"/>
      </w:rPr>
    </w:lvl>
  </w:abstractNum>
  <w:abstractNum w:abstractNumId="2">
    <w:nsid w:val="19CA0227"/>
    <w:multiLevelType w:val="hybridMultilevel"/>
    <w:tmpl w:val="B48CDD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8406E5"/>
    <w:multiLevelType w:val="hybridMultilevel"/>
    <w:tmpl w:val="D1BCA1DA"/>
    <w:lvl w:ilvl="0" w:tplc="9C14501A">
      <w:start w:val="1"/>
      <w:numFmt w:val="bullet"/>
      <w:lvlText w:val="·"/>
      <w:lvlJc w:val="left"/>
      <w:pPr>
        <w:ind w:left="720" w:hanging="360"/>
      </w:pPr>
      <w:rPr>
        <w:rFonts w:ascii="Symbol" w:hAnsi="Symbol" w:hint="default"/>
      </w:rPr>
    </w:lvl>
    <w:lvl w:ilvl="1" w:tplc="4E22DA50">
      <w:start w:val="1"/>
      <w:numFmt w:val="bullet"/>
      <w:lvlText w:val="o"/>
      <w:lvlJc w:val="left"/>
      <w:pPr>
        <w:ind w:left="1440" w:hanging="360"/>
      </w:pPr>
      <w:rPr>
        <w:rFonts w:ascii="Courier New" w:hAnsi="Courier New" w:hint="default"/>
      </w:rPr>
    </w:lvl>
    <w:lvl w:ilvl="2" w:tplc="E544121E">
      <w:start w:val="1"/>
      <w:numFmt w:val="bullet"/>
      <w:lvlText w:val=""/>
      <w:lvlJc w:val="left"/>
      <w:pPr>
        <w:ind w:left="2160" w:hanging="360"/>
      </w:pPr>
      <w:rPr>
        <w:rFonts w:ascii="Wingdings" w:hAnsi="Wingdings" w:hint="default"/>
      </w:rPr>
    </w:lvl>
    <w:lvl w:ilvl="3" w:tplc="75F6C9B6">
      <w:start w:val="1"/>
      <w:numFmt w:val="bullet"/>
      <w:lvlText w:val=""/>
      <w:lvlJc w:val="left"/>
      <w:pPr>
        <w:ind w:left="2880" w:hanging="360"/>
      </w:pPr>
      <w:rPr>
        <w:rFonts w:ascii="Symbol" w:hAnsi="Symbol" w:hint="default"/>
      </w:rPr>
    </w:lvl>
    <w:lvl w:ilvl="4" w:tplc="D0D8ADC6">
      <w:start w:val="1"/>
      <w:numFmt w:val="bullet"/>
      <w:lvlText w:val="o"/>
      <w:lvlJc w:val="left"/>
      <w:pPr>
        <w:ind w:left="3600" w:hanging="360"/>
      </w:pPr>
      <w:rPr>
        <w:rFonts w:ascii="Courier New" w:hAnsi="Courier New" w:hint="default"/>
      </w:rPr>
    </w:lvl>
    <w:lvl w:ilvl="5" w:tplc="028AC0B6">
      <w:start w:val="1"/>
      <w:numFmt w:val="bullet"/>
      <w:lvlText w:val=""/>
      <w:lvlJc w:val="left"/>
      <w:pPr>
        <w:ind w:left="4320" w:hanging="360"/>
      </w:pPr>
      <w:rPr>
        <w:rFonts w:ascii="Wingdings" w:hAnsi="Wingdings" w:hint="default"/>
      </w:rPr>
    </w:lvl>
    <w:lvl w:ilvl="6" w:tplc="A01CBBEE">
      <w:start w:val="1"/>
      <w:numFmt w:val="bullet"/>
      <w:lvlText w:val=""/>
      <w:lvlJc w:val="left"/>
      <w:pPr>
        <w:ind w:left="5040" w:hanging="360"/>
      </w:pPr>
      <w:rPr>
        <w:rFonts w:ascii="Symbol" w:hAnsi="Symbol" w:hint="default"/>
      </w:rPr>
    </w:lvl>
    <w:lvl w:ilvl="7" w:tplc="2946EA20">
      <w:start w:val="1"/>
      <w:numFmt w:val="bullet"/>
      <w:lvlText w:val="o"/>
      <w:lvlJc w:val="left"/>
      <w:pPr>
        <w:ind w:left="5760" w:hanging="360"/>
      </w:pPr>
      <w:rPr>
        <w:rFonts w:ascii="Courier New" w:hAnsi="Courier New" w:hint="default"/>
      </w:rPr>
    </w:lvl>
    <w:lvl w:ilvl="8" w:tplc="7A7C7514">
      <w:start w:val="1"/>
      <w:numFmt w:val="bullet"/>
      <w:lvlText w:val=""/>
      <w:lvlJc w:val="left"/>
      <w:pPr>
        <w:ind w:left="6480" w:hanging="360"/>
      </w:pPr>
      <w:rPr>
        <w:rFonts w:ascii="Wingdings" w:hAnsi="Wingdings" w:hint="default"/>
      </w:rPr>
    </w:lvl>
  </w:abstractNum>
  <w:abstractNum w:abstractNumId="4">
    <w:nsid w:val="28231083"/>
    <w:multiLevelType w:val="multilevel"/>
    <w:tmpl w:val="FE3AB34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nsid w:val="2921811D"/>
    <w:multiLevelType w:val="hybridMultilevel"/>
    <w:tmpl w:val="DABA9596"/>
    <w:lvl w:ilvl="0" w:tplc="09FC8AD8">
      <w:start w:val="1"/>
      <w:numFmt w:val="bullet"/>
      <w:lvlText w:val="·"/>
      <w:lvlJc w:val="left"/>
      <w:pPr>
        <w:ind w:left="720" w:hanging="360"/>
      </w:pPr>
      <w:rPr>
        <w:rFonts w:ascii="Symbol" w:hAnsi="Symbol" w:hint="default"/>
      </w:rPr>
    </w:lvl>
    <w:lvl w:ilvl="1" w:tplc="0FEAC172">
      <w:start w:val="1"/>
      <w:numFmt w:val="bullet"/>
      <w:lvlText w:val="o"/>
      <w:lvlJc w:val="left"/>
      <w:pPr>
        <w:ind w:left="1440" w:hanging="360"/>
      </w:pPr>
      <w:rPr>
        <w:rFonts w:ascii="Courier New" w:hAnsi="Courier New" w:hint="default"/>
      </w:rPr>
    </w:lvl>
    <w:lvl w:ilvl="2" w:tplc="C5BEC114">
      <w:start w:val="1"/>
      <w:numFmt w:val="bullet"/>
      <w:lvlText w:val=""/>
      <w:lvlJc w:val="left"/>
      <w:pPr>
        <w:ind w:left="2160" w:hanging="360"/>
      </w:pPr>
      <w:rPr>
        <w:rFonts w:ascii="Wingdings" w:hAnsi="Wingdings" w:hint="default"/>
      </w:rPr>
    </w:lvl>
    <w:lvl w:ilvl="3" w:tplc="BE847924">
      <w:start w:val="1"/>
      <w:numFmt w:val="bullet"/>
      <w:lvlText w:val=""/>
      <w:lvlJc w:val="left"/>
      <w:pPr>
        <w:ind w:left="2880" w:hanging="360"/>
      </w:pPr>
      <w:rPr>
        <w:rFonts w:ascii="Symbol" w:hAnsi="Symbol" w:hint="default"/>
      </w:rPr>
    </w:lvl>
    <w:lvl w:ilvl="4" w:tplc="CBB0ADD2">
      <w:start w:val="1"/>
      <w:numFmt w:val="bullet"/>
      <w:lvlText w:val="o"/>
      <w:lvlJc w:val="left"/>
      <w:pPr>
        <w:ind w:left="3600" w:hanging="360"/>
      </w:pPr>
      <w:rPr>
        <w:rFonts w:ascii="Courier New" w:hAnsi="Courier New" w:hint="default"/>
      </w:rPr>
    </w:lvl>
    <w:lvl w:ilvl="5" w:tplc="E428771E">
      <w:start w:val="1"/>
      <w:numFmt w:val="bullet"/>
      <w:lvlText w:val=""/>
      <w:lvlJc w:val="left"/>
      <w:pPr>
        <w:ind w:left="4320" w:hanging="360"/>
      </w:pPr>
      <w:rPr>
        <w:rFonts w:ascii="Wingdings" w:hAnsi="Wingdings" w:hint="default"/>
      </w:rPr>
    </w:lvl>
    <w:lvl w:ilvl="6" w:tplc="35BCE7EC">
      <w:start w:val="1"/>
      <w:numFmt w:val="bullet"/>
      <w:lvlText w:val=""/>
      <w:lvlJc w:val="left"/>
      <w:pPr>
        <w:ind w:left="5040" w:hanging="360"/>
      </w:pPr>
      <w:rPr>
        <w:rFonts w:ascii="Symbol" w:hAnsi="Symbol" w:hint="default"/>
      </w:rPr>
    </w:lvl>
    <w:lvl w:ilvl="7" w:tplc="0BC6FCD4">
      <w:start w:val="1"/>
      <w:numFmt w:val="bullet"/>
      <w:lvlText w:val="o"/>
      <w:lvlJc w:val="left"/>
      <w:pPr>
        <w:ind w:left="5760" w:hanging="360"/>
      </w:pPr>
      <w:rPr>
        <w:rFonts w:ascii="Courier New" w:hAnsi="Courier New" w:hint="default"/>
      </w:rPr>
    </w:lvl>
    <w:lvl w:ilvl="8" w:tplc="0FD83CF2">
      <w:start w:val="1"/>
      <w:numFmt w:val="bullet"/>
      <w:lvlText w:val=""/>
      <w:lvlJc w:val="left"/>
      <w:pPr>
        <w:ind w:left="6480" w:hanging="360"/>
      </w:pPr>
      <w:rPr>
        <w:rFonts w:ascii="Wingdings" w:hAnsi="Wingdings" w:hint="default"/>
      </w:rPr>
    </w:lvl>
  </w:abstractNum>
  <w:abstractNum w:abstractNumId="6">
    <w:nsid w:val="33E46618"/>
    <w:multiLevelType w:val="hybridMultilevel"/>
    <w:tmpl w:val="DCBA7F6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7CD7911"/>
    <w:multiLevelType w:val="hybridMultilevel"/>
    <w:tmpl w:val="ACE44FE8"/>
    <w:lvl w:ilvl="0" w:tplc="D6E801B2">
      <w:start w:val="1"/>
      <w:numFmt w:val="bullet"/>
      <w:lvlText w:val="·"/>
      <w:lvlJc w:val="left"/>
      <w:pPr>
        <w:ind w:left="720" w:hanging="360"/>
      </w:pPr>
      <w:rPr>
        <w:rFonts w:ascii="Symbol" w:hAnsi="Symbol" w:hint="default"/>
      </w:rPr>
    </w:lvl>
    <w:lvl w:ilvl="1" w:tplc="736ED5F2">
      <w:start w:val="1"/>
      <w:numFmt w:val="bullet"/>
      <w:lvlText w:val="o"/>
      <w:lvlJc w:val="left"/>
      <w:pPr>
        <w:ind w:left="1440" w:hanging="360"/>
      </w:pPr>
      <w:rPr>
        <w:rFonts w:ascii="Courier New" w:hAnsi="Courier New" w:hint="default"/>
      </w:rPr>
    </w:lvl>
    <w:lvl w:ilvl="2" w:tplc="4F5630A8">
      <w:start w:val="1"/>
      <w:numFmt w:val="bullet"/>
      <w:lvlText w:val=""/>
      <w:lvlJc w:val="left"/>
      <w:pPr>
        <w:ind w:left="2160" w:hanging="360"/>
      </w:pPr>
      <w:rPr>
        <w:rFonts w:ascii="Wingdings" w:hAnsi="Wingdings" w:hint="default"/>
      </w:rPr>
    </w:lvl>
    <w:lvl w:ilvl="3" w:tplc="040C884E">
      <w:start w:val="1"/>
      <w:numFmt w:val="bullet"/>
      <w:lvlText w:val=""/>
      <w:lvlJc w:val="left"/>
      <w:pPr>
        <w:ind w:left="2880" w:hanging="360"/>
      </w:pPr>
      <w:rPr>
        <w:rFonts w:ascii="Symbol" w:hAnsi="Symbol" w:hint="default"/>
      </w:rPr>
    </w:lvl>
    <w:lvl w:ilvl="4" w:tplc="91EC9AB2">
      <w:start w:val="1"/>
      <w:numFmt w:val="bullet"/>
      <w:lvlText w:val="o"/>
      <w:lvlJc w:val="left"/>
      <w:pPr>
        <w:ind w:left="3600" w:hanging="360"/>
      </w:pPr>
      <w:rPr>
        <w:rFonts w:ascii="Courier New" w:hAnsi="Courier New" w:hint="default"/>
      </w:rPr>
    </w:lvl>
    <w:lvl w:ilvl="5" w:tplc="40D6A730">
      <w:start w:val="1"/>
      <w:numFmt w:val="bullet"/>
      <w:lvlText w:val=""/>
      <w:lvlJc w:val="left"/>
      <w:pPr>
        <w:ind w:left="4320" w:hanging="360"/>
      </w:pPr>
      <w:rPr>
        <w:rFonts w:ascii="Wingdings" w:hAnsi="Wingdings" w:hint="default"/>
      </w:rPr>
    </w:lvl>
    <w:lvl w:ilvl="6" w:tplc="5C8833D8">
      <w:start w:val="1"/>
      <w:numFmt w:val="bullet"/>
      <w:lvlText w:val=""/>
      <w:lvlJc w:val="left"/>
      <w:pPr>
        <w:ind w:left="5040" w:hanging="360"/>
      </w:pPr>
      <w:rPr>
        <w:rFonts w:ascii="Symbol" w:hAnsi="Symbol" w:hint="default"/>
      </w:rPr>
    </w:lvl>
    <w:lvl w:ilvl="7" w:tplc="71C88D7E">
      <w:start w:val="1"/>
      <w:numFmt w:val="bullet"/>
      <w:lvlText w:val="o"/>
      <w:lvlJc w:val="left"/>
      <w:pPr>
        <w:ind w:left="5760" w:hanging="360"/>
      </w:pPr>
      <w:rPr>
        <w:rFonts w:ascii="Courier New" w:hAnsi="Courier New" w:hint="default"/>
      </w:rPr>
    </w:lvl>
    <w:lvl w:ilvl="8" w:tplc="83F4A898">
      <w:start w:val="1"/>
      <w:numFmt w:val="bullet"/>
      <w:lvlText w:val=""/>
      <w:lvlJc w:val="left"/>
      <w:pPr>
        <w:ind w:left="6480" w:hanging="360"/>
      </w:pPr>
      <w:rPr>
        <w:rFonts w:ascii="Wingdings" w:hAnsi="Wingdings" w:hint="default"/>
      </w:rPr>
    </w:lvl>
  </w:abstractNum>
  <w:abstractNum w:abstractNumId="8">
    <w:nsid w:val="41E420C8"/>
    <w:multiLevelType w:val="hybridMultilevel"/>
    <w:tmpl w:val="983A94F0"/>
    <w:lvl w:ilvl="0" w:tplc="2D1CF9F0">
      <w:start w:val="1"/>
      <w:numFmt w:val="bullet"/>
      <w:lvlText w:val="·"/>
      <w:lvlJc w:val="left"/>
      <w:pPr>
        <w:ind w:left="720" w:hanging="360"/>
      </w:pPr>
      <w:rPr>
        <w:rFonts w:ascii="Symbol" w:hAnsi="Symbol" w:hint="default"/>
      </w:rPr>
    </w:lvl>
    <w:lvl w:ilvl="1" w:tplc="2040BAD8">
      <w:start w:val="1"/>
      <w:numFmt w:val="bullet"/>
      <w:lvlText w:val="o"/>
      <w:lvlJc w:val="left"/>
      <w:pPr>
        <w:ind w:left="1440" w:hanging="360"/>
      </w:pPr>
      <w:rPr>
        <w:rFonts w:ascii="Courier New" w:hAnsi="Courier New" w:hint="default"/>
      </w:rPr>
    </w:lvl>
    <w:lvl w:ilvl="2" w:tplc="A4F2641E">
      <w:start w:val="1"/>
      <w:numFmt w:val="bullet"/>
      <w:lvlText w:val=""/>
      <w:lvlJc w:val="left"/>
      <w:pPr>
        <w:ind w:left="2160" w:hanging="360"/>
      </w:pPr>
      <w:rPr>
        <w:rFonts w:ascii="Wingdings" w:hAnsi="Wingdings" w:hint="default"/>
      </w:rPr>
    </w:lvl>
    <w:lvl w:ilvl="3" w:tplc="5D7002C8">
      <w:start w:val="1"/>
      <w:numFmt w:val="bullet"/>
      <w:lvlText w:val=""/>
      <w:lvlJc w:val="left"/>
      <w:pPr>
        <w:ind w:left="2880" w:hanging="360"/>
      </w:pPr>
      <w:rPr>
        <w:rFonts w:ascii="Symbol" w:hAnsi="Symbol" w:hint="default"/>
      </w:rPr>
    </w:lvl>
    <w:lvl w:ilvl="4" w:tplc="170C8A06">
      <w:start w:val="1"/>
      <w:numFmt w:val="bullet"/>
      <w:lvlText w:val="o"/>
      <w:lvlJc w:val="left"/>
      <w:pPr>
        <w:ind w:left="3600" w:hanging="360"/>
      </w:pPr>
      <w:rPr>
        <w:rFonts w:ascii="Courier New" w:hAnsi="Courier New" w:hint="default"/>
      </w:rPr>
    </w:lvl>
    <w:lvl w:ilvl="5" w:tplc="74FC7206">
      <w:start w:val="1"/>
      <w:numFmt w:val="bullet"/>
      <w:lvlText w:val=""/>
      <w:lvlJc w:val="left"/>
      <w:pPr>
        <w:ind w:left="4320" w:hanging="360"/>
      </w:pPr>
      <w:rPr>
        <w:rFonts w:ascii="Wingdings" w:hAnsi="Wingdings" w:hint="default"/>
      </w:rPr>
    </w:lvl>
    <w:lvl w:ilvl="6" w:tplc="D1AE9972">
      <w:start w:val="1"/>
      <w:numFmt w:val="bullet"/>
      <w:lvlText w:val=""/>
      <w:lvlJc w:val="left"/>
      <w:pPr>
        <w:ind w:left="5040" w:hanging="360"/>
      </w:pPr>
      <w:rPr>
        <w:rFonts w:ascii="Symbol" w:hAnsi="Symbol" w:hint="default"/>
      </w:rPr>
    </w:lvl>
    <w:lvl w:ilvl="7" w:tplc="31388F2A">
      <w:start w:val="1"/>
      <w:numFmt w:val="bullet"/>
      <w:lvlText w:val="o"/>
      <w:lvlJc w:val="left"/>
      <w:pPr>
        <w:ind w:left="5760" w:hanging="360"/>
      </w:pPr>
      <w:rPr>
        <w:rFonts w:ascii="Courier New" w:hAnsi="Courier New" w:hint="default"/>
      </w:rPr>
    </w:lvl>
    <w:lvl w:ilvl="8" w:tplc="CF78C2E6">
      <w:start w:val="1"/>
      <w:numFmt w:val="bullet"/>
      <w:lvlText w:val=""/>
      <w:lvlJc w:val="left"/>
      <w:pPr>
        <w:ind w:left="6480" w:hanging="360"/>
      </w:pPr>
      <w:rPr>
        <w:rFonts w:ascii="Wingdings" w:hAnsi="Wingdings" w:hint="default"/>
      </w:rPr>
    </w:lvl>
  </w:abstractNum>
  <w:abstractNum w:abstractNumId="9">
    <w:nsid w:val="4E8AE7A1"/>
    <w:multiLevelType w:val="hybridMultilevel"/>
    <w:tmpl w:val="1E94666E"/>
    <w:lvl w:ilvl="0" w:tplc="0982374A">
      <w:start w:val="1"/>
      <w:numFmt w:val="bullet"/>
      <w:lvlText w:val="·"/>
      <w:lvlJc w:val="left"/>
      <w:pPr>
        <w:ind w:left="720" w:hanging="360"/>
      </w:pPr>
      <w:rPr>
        <w:rFonts w:ascii="Symbol" w:hAnsi="Symbol" w:hint="default"/>
      </w:rPr>
    </w:lvl>
    <w:lvl w:ilvl="1" w:tplc="607E5A7C">
      <w:start w:val="1"/>
      <w:numFmt w:val="bullet"/>
      <w:lvlText w:val="o"/>
      <w:lvlJc w:val="left"/>
      <w:pPr>
        <w:ind w:left="1440" w:hanging="360"/>
      </w:pPr>
      <w:rPr>
        <w:rFonts w:ascii="Courier New" w:hAnsi="Courier New" w:hint="default"/>
      </w:rPr>
    </w:lvl>
    <w:lvl w:ilvl="2" w:tplc="C5D0464E">
      <w:start w:val="1"/>
      <w:numFmt w:val="bullet"/>
      <w:lvlText w:val=""/>
      <w:lvlJc w:val="left"/>
      <w:pPr>
        <w:ind w:left="2160" w:hanging="360"/>
      </w:pPr>
      <w:rPr>
        <w:rFonts w:ascii="Wingdings" w:hAnsi="Wingdings" w:hint="default"/>
      </w:rPr>
    </w:lvl>
    <w:lvl w:ilvl="3" w:tplc="A1105314">
      <w:start w:val="1"/>
      <w:numFmt w:val="bullet"/>
      <w:lvlText w:val=""/>
      <w:lvlJc w:val="left"/>
      <w:pPr>
        <w:ind w:left="2880" w:hanging="360"/>
      </w:pPr>
      <w:rPr>
        <w:rFonts w:ascii="Symbol" w:hAnsi="Symbol" w:hint="default"/>
      </w:rPr>
    </w:lvl>
    <w:lvl w:ilvl="4" w:tplc="BBAA1674">
      <w:start w:val="1"/>
      <w:numFmt w:val="bullet"/>
      <w:lvlText w:val="o"/>
      <w:lvlJc w:val="left"/>
      <w:pPr>
        <w:ind w:left="3600" w:hanging="360"/>
      </w:pPr>
      <w:rPr>
        <w:rFonts w:ascii="Courier New" w:hAnsi="Courier New" w:hint="default"/>
      </w:rPr>
    </w:lvl>
    <w:lvl w:ilvl="5" w:tplc="BB30AC7C">
      <w:start w:val="1"/>
      <w:numFmt w:val="bullet"/>
      <w:lvlText w:val=""/>
      <w:lvlJc w:val="left"/>
      <w:pPr>
        <w:ind w:left="4320" w:hanging="360"/>
      </w:pPr>
      <w:rPr>
        <w:rFonts w:ascii="Wingdings" w:hAnsi="Wingdings" w:hint="default"/>
      </w:rPr>
    </w:lvl>
    <w:lvl w:ilvl="6" w:tplc="B63223FE">
      <w:start w:val="1"/>
      <w:numFmt w:val="bullet"/>
      <w:lvlText w:val=""/>
      <w:lvlJc w:val="left"/>
      <w:pPr>
        <w:ind w:left="5040" w:hanging="360"/>
      </w:pPr>
      <w:rPr>
        <w:rFonts w:ascii="Symbol" w:hAnsi="Symbol" w:hint="default"/>
      </w:rPr>
    </w:lvl>
    <w:lvl w:ilvl="7" w:tplc="0EC88E58">
      <w:start w:val="1"/>
      <w:numFmt w:val="bullet"/>
      <w:lvlText w:val="o"/>
      <w:lvlJc w:val="left"/>
      <w:pPr>
        <w:ind w:left="5760" w:hanging="360"/>
      </w:pPr>
      <w:rPr>
        <w:rFonts w:ascii="Courier New" w:hAnsi="Courier New" w:hint="default"/>
      </w:rPr>
    </w:lvl>
    <w:lvl w:ilvl="8" w:tplc="442CCC30">
      <w:start w:val="1"/>
      <w:numFmt w:val="bullet"/>
      <w:lvlText w:val=""/>
      <w:lvlJc w:val="left"/>
      <w:pPr>
        <w:ind w:left="6480" w:hanging="360"/>
      </w:pPr>
      <w:rPr>
        <w:rFonts w:ascii="Wingdings" w:hAnsi="Wingdings" w:hint="default"/>
      </w:rPr>
    </w:lvl>
  </w:abstractNum>
  <w:abstractNum w:abstractNumId="10">
    <w:nsid w:val="4EAB3D55"/>
    <w:multiLevelType w:val="hybridMultilevel"/>
    <w:tmpl w:val="E1D41A0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76A55A7A"/>
    <w:multiLevelType w:val="hybridMultilevel"/>
    <w:tmpl w:val="D34ED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C6D3FAC"/>
    <w:multiLevelType w:val="hybridMultilevel"/>
    <w:tmpl w:val="907C825A"/>
    <w:lvl w:ilvl="0" w:tplc="16343B14">
      <w:start w:val="1"/>
      <w:numFmt w:val="bullet"/>
      <w:lvlText w:val="·"/>
      <w:lvlJc w:val="left"/>
      <w:pPr>
        <w:ind w:left="720" w:hanging="360"/>
      </w:pPr>
      <w:rPr>
        <w:rFonts w:ascii="Symbol" w:hAnsi="Symbol" w:hint="default"/>
      </w:rPr>
    </w:lvl>
    <w:lvl w:ilvl="1" w:tplc="D33C354E">
      <w:start w:val="1"/>
      <w:numFmt w:val="bullet"/>
      <w:lvlText w:val="o"/>
      <w:lvlJc w:val="left"/>
      <w:pPr>
        <w:ind w:left="1440" w:hanging="360"/>
      </w:pPr>
      <w:rPr>
        <w:rFonts w:ascii="Courier New" w:hAnsi="Courier New" w:hint="default"/>
      </w:rPr>
    </w:lvl>
    <w:lvl w:ilvl="2" w:tplc="841E0D82">
      <w:start w:val="1"/>
      <w:numFmt w:val="bullet"/>
      <w:lvlText w:val=""/>
      <w:lvlJc w:val="left"/>
      <w:pPr>
        <w:ind w:left="2160" w:hanging="360"/>
      </w:pPr>
      <w:rPr>
        <w:rFonts w:ascii="Wingdings" w:hAnsi="Wingdings" w:hint="default"/>
      </w:rPr>
    </w:lvl>
    <w:lvl w:ilvl="3" w:tplc="9042968E">
      <w:start w:val="1"/>
      <w:numFmt w:val="bullet"/>
      <w:lvlText w:val=""/>
      <w:lvlJc w:val="left"/>
      <w:pPr>
        <w:ind w:left="2880" w:hanging="360"/>
      </w:pPr>
      <w:rPr>
        <w:rFonts w:ascii="Symbol" w:hAnsi="Symbol" w:hint="default"/>
      </w:rPr>
    </w:lvl>
    <w:lvl w:ilvl="4" w:tplc="5DE21B8A">
      <w:start w:val="1"/>
      <w:numFmt w:val="bullet"/>
      <w:lvlText w:val="o"/>
      <w:lvlJc w:val="left"/>
      <w:pPr>
        <w:ind w:left="3600" w:hanging="360"/>
      </w:pPr>
      <w:rPr>
        <w:rFonts w:ascii="Courier New" w:hAnsi="Courier New" w:hint="default"/>
      </w:rPr>
    </w:lvl>
    <w:lvl w:ilvl="5" w:tplc="CA46926A">
      <w:start w:val="1"/>
      <w:numFmt w:val="bullet"/>
      <w:lvlText w:val=""/>
      <w:lvlJc w:val="left"/>
      <w:pPr>
        <w:ind w:left="4320" w:hanging="360"/>
      </w:pPr>
      <w:rPr>
        <w:rFonts w:ascii="Wingdings" w:hAnsi="Wingdings" w:hint="default"/>
      </w:rPr>
    </w:lvl>
    <w:lvl w:ilvl="6" w:tplc="59B637E0">
      <w:start w:val="1"/>
      <w:numFmt w:val="bullet"/>
      <w:lvlText w:val=""/>
      <w:lvlJc w:val="left"/>
      <w:pPr>
        <w:ind w:left="5040" w:hanging="360"/>
      </w:pPr>
      <w:rPr>
        <w:rFonts w:ascii="Symbol" w:hAnsi="Symbol" w:hint="default"/>
      </w:rPr>
    </w:lvl>
    <w:lvl w:ilvl="7" w:tplc="E7924B04">
      <w:start w:val="1"/>
      <w:numFmt w:val="bullet"/>
      <w:lvlText w:val="o"/>
      <w:lvlJc w:val="left"/>
      <w:pPr>
        <w:ind w:left="5760" w:hanging="360"/>
      </w:pPr>
      <w:rPr>
        <w:rFonts w:ascii="Courier New" w:hAnsi="Courier New" w:hint="default"/>
      </w:rPr>
    </w:lvl>
    <w:lvl w:ilvl="8" w:tplc="2750825C">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2"/>
  </w:num>
  <w:num w:numId="4">
    <w:abstractNumId w:val="10"/>
  </w:num>
  <w:num w:numId="5">
    <w:abstractNumId w:val="6"/>
  </w:num>
  <w:num w:numId="6">
    <w:abstractNumId w:val="12"/>
  </w:num>
  <w:num w:numId="7">
    <w:abstractNumId w:val="9"/>
  </w:num>
  <w:num w:numId="8">
    <w:abstractNumId w:val="3"/>
  </w:num>
  <w:num w:numId="9">
    <w:abstractNumId w:val="0"/>
  </w:num>
  <w:num w:numId="10">
    <w:abstractNumId w:val="5"/>
  </w:num>
  <w:num w:numId="11">
    <w:abstractNumId w:val="1"/>
  </w:num>
  <w:num w:numId="12">
    <w:abstractNumId w:val="7"/>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num>
  <w:num w:numId="18">
    <w:abstractNumId w:val="4"/>
  </w:num>
  <w:num w:numId="19">
    <w:abstractNumId w:val="4"/>
  </w:num>
  <w:num w:numId="20">
    <w:abstractNumId w:val="4"/>
  </w:num>
  <w:num w:numId="21">
    <w:abstractNumId w:val="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vid Flynn">
    <w15:presenceInfo w15:providerId="AD" w15:userId="S::David.Flynn@glasgow.ac.uk::454a2eec-348c-4b4f-b25a-417da3520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010"/>
    <w:rsid w:val="00002992"/>
    <w:rsid w:val="00005822"/>
    <w:rsid w:val="00016488"/>
    <w:rsid w:val="000166A8"/>
    <w:rsid w:val="00016824"/>
    <w:rsid w:val="000202E3"/>
    <w:rsid w:val="00020F2D"/>
    <w:rsid w:val="00023B33"/>
    <w:rsid w:val="00024751"/>
    <w:rsid w:val="0002790A"/>
    <w:rsid w:val="00031A21"/>
    <w:rsid w:val="00031EB7"/>
    <w:rsid w:val="00033DB3"/>
    <w:rsid w:val="000355BD"/>
    <w:rsid w:val="000363B5"/>
    <w:rsid w:val="00037C13"/>
    <w:rsid w:val="00041083"/>
    <w:rsid w:val="00045D97"/>
    <w:rsid w:val="0005063A"/>
    <w:rsid w:val="00050659"/>
    <w:rsid w:val="00050DDB"/>
    <w:rsid w:val="00060125"/>
    <w:rsid w:val="00060ED0"/>
    <w:rsid w:val="00062B57"/>
    <w:rsid w:val="0006570E"/>
    <w:rsid w:val="00074817"/>
    <w:rsid w:val="00074ADF"/>
    <w:rsid w:val="00074B89"/>
    <w:rsid w:val="000752B8"/>
    <w:rsid w:val="00075531"/>
    <w:rsid w:val="000760CD"/>
    <w:rsid w:val="00077CB2"/>
    <w:rsid w:val="00080192"/>
    <w:rsid w:val="00082154"/>
    <w:rsid w:val="00084053"/>
    <w:rsid w:val="00090179"/>
    <w:rsid w:val="00091105"/>
    <w:rsid w:val="0009216F"/>
    <w:rsid w:val="00094917"/>
    <w:rsid w:val="00095787"/>
    <w:rsid w:val="000A1C5B"/>
    <w:rsid w:val="000A68EF"/>
    <w:rsid w:val="000C2E5A"/>
    <w:rsid w:val="000C47AB"/>
    <w:rsid w:val="000C64DB"/>
    <w:rsid w:val="000C711B"/>
    <w:rsid w:val="000D343F"/>
    <w:rsid w:val="000D6A28"/>
    <w:rsid w:val="000E0C14"/>
    <w:rsid w:val="000E0EE3"/>
    <w:rsid w:val="000E1AFF"/>
    <w:rsid w:val="000E220F"/>
    <w:rsid w:val="000E25BE"/>
    <w:rsid w:val="000E2D21"/>
    <w:rsid w:val="000E3A89"/>
    <w:rsid w:val="000E416D"/>
    <w:rsid w:val="000E619D"/>
    <w:rsid w:val="000E7304"/>
    <w:rsid w:val="000F13C5"/>
    <w:rsid w:val="000F53AC"/>
    <w:rsid w:val="000F63C0"/>
    <w:rsid w:val="000F6E07"/>
    <w:rsid w:val="00100C5F"/>
    <w:rsid w:val="00101A60"/>
    <w:rsid w:val="00102233"/>
    <w:rsid w:val="00102D44"/>
    <w:rsid w:val="00103ACD"/>
    <w:rsid w:val="00113899"/>
    <w:rsid w:val="001201E8"/>
    <w:rsid w:val="001237E2"/>
    <w:rsid w:val="001260F4"/>
    <w:rsid w:val="001271B8"/>
    <w:rsid w:val="00141459"/>
    <w:rsid w:val="00141EA6"/>
    <w:rsid w:val="001424C8"/>
    <w:rsid w:val="0014264F"/>
    <w:rsid w:val="0014370F"/>
    <w:rsid w:val="001445EB"/>
    <w:rsid w:val="00147117"/>
    <w:rsid w:val="00147E47"/>
    <w:rsid w:val="00152228"/>
    <w:rsid w:val="00155F50"/>
    <w:rsid w:val="001617F9"/>
    <w:rsid w:val="00166C2B"/>
    <w:rsid w:val="00172616"/>
    <w:rsid w:val="0018783F"/>
    <w:rsid w:val="001910B3"/>
    <w:rsid w:val="001913C0"/>
    <w:rsid w:val="0019445F"/>
    <w:rsid w:val="00195C16"/>
    <w:rsid w:val="0019797F"/>
    <w:rsid w:val="001A65C6"/>
    <w:rsid w:val="001B192F"/>
    <w:rsid w:val="001B2A1E"/>
    <w:rsid w:val="001C28F8"/>
    <w:rsid w:val="001C387B"/>
    <w:rsid w:val="001C6E68"/>
    <w:rsid w:val="001C750E"/>
    <w:rsid w:val="001D2FC5"/>
    <w:rsid w:val="001E0E9D"/>
    <w:rsid w:val="001E5152"/>
    <w:rsid w:val="001E7932"/>
    <w:rsid w:val="001E7B13"/>
    <w:rsid w:val="001F226D"/>
    <w:rsid w:val="001F6B2A"/>
    <w:rsid w:val="002060DA"/>
    <w:rsid w:val="0021221D"/>
    <w:rsid w:val="002145B0"/>
    <w:rsid w:val="002152FD"/>
    <w:rsid w:val="002214DF"/>
    <w:rsid w:val="0022264C"/>
    <w:rsid w:val="00223A80"/>
    <w:rsid w:val="002269B1"/>
    <w:rsid w:val="0022770C"/>
    <w:rsid w:val="00235C94"/>
    <w:rsid w:val="0024166C"/>
    <w:rsid w:val="00242803"/>
    <w:rsid w:val="00244051"/>
    <w:rsid w:val="00247BB9"/>
    <w:rsid w:val="0025354B"/>
    <w:rsid w:val="00253A61"/>
    <w:rsid w:val="00254385"/>
    <w:rsid w:val="0025643C"/>
    <w:rsid w:val="00261E4C"/>
    <w:rsid w:val="00262C40"/>
    <w:rsid w:val="002656E8"/>
    <w:rsid w:val="002657AA"/>
    <w:rsid w:val="00266101"/>
    <w:rsid w:val="0026633E"/>
    <w:rsid w:val="00274D8E"/>
    <w:rsid w:val="00277D82"/>
    <w:rsid w:val="002805D1"/>
    <w:rsid w:val="00280B31"/>
    <w:rsid w:val="0028367B"/>
    <w:rsid w:val="002864D8"/>
    <w:rsid w:val="00287B7E"/>
    <w:rsid w:val="00290DBA"/>
    <w:rsid w:val="0029220E"/>
    <w:rsid w:val="00296BD3"/>
    <w:rsid w:val="002A2B2A"/>
    <w:rsid w:val="002A57DF"/>
    <w:rsid w:val="002A77C0"/>
    <w:rsid w:val="002B4F23"/>
    <w:rsid w:val="002C042B"/>
    <w:rsid w:val="002C163F"/>
    <w:rsid w:val="002D0E68"/>
    <w:rsid w:val="002D73AC"/>
    <w:rsid w:val="002E724C"/>
    <w:rsid w:val="002F1150"/>
    <w:rsid w:val="002F4974"/>
    <w:rsid w:val="002F5F25"/>
    <w:rsid w:val="002F6EC2"/>
    <w:rsid w:val="003026A1"/>
    <w:rsid w:val="00306772"/>
    <w:rsid w:val="00306A96"/>
    <w:rsid w:val="00307E88"/>
    <w:rsid w:val="00313BAB"/>
    <w:rsid w:val="003259CB"/>
    <w:rsid w:val="00332FCF"/>
    <w:rsid w:val="00344455"/>
    <w:rsid w:val="003525D7"/>
    <w:rsid w:val="0035307B"/>
    <w:rsid w:val="0035636E"/>
    <w:rsid w:val="00356AB4"/>
    <w:rsid w:val="003623F7"/>
    <w:rsid w:val="003635A0"/>
    <w:rsid w:val="00363E09"/>
    <w:rsid w:val="003656E1"/>
    <w:rsid w:val="0036601D"/>
    <w:rsid w:val="00366E35"/>
    <w:rsid w:val="00373000"/>
    <w:rsid w:val="003738EE"/>
    <w:rsid w:val="003739E3"/>
    <w:rsid w:val="00374F74"/>
    <w:rsid w:val="00382A1B"/>
    <w:rsid w:val="0038315A"/>
    <w:rsid w:val="00384FF7"/>
    <w:rsid w:val="0038610E"/>
    <w:rsid w:val="00387DC6"/>
    <w:rsid w:val="00391CCA"/>
    <w:rsid w:val="00393C8D"/>
    <w:rsid w:val="00397BA5"/>
    <w:rsid w:val="003A1D6F"/>
    <w:rsid w:val="003A3F53"/>
    <w:rsid w:val="003A4DFA"/>
    <w:rsid w:val="003A5623"/>
    <w:rsid w:val="003A6F15"/>
    <w:rsid w:val="003B3E71"/>
    <w:rsid w:val="003C27B7"/>
    <w:rsid w:val="003C395D"/>
    <w:rsid w:val="003C6063"/>
    <w:rsid w:val="003C60F5"/>
    <w:rsid w:val="003D060E"/>
    <w:rsid w:val="003D20E4"/>
    <w:rsid w:val="003D27DF"/>
    <w:rsid w:val="003D5214"/>
    <w:rsid w:val="003D67DF"/>
    <w:rsid w:val="003F07B4"/>
    <w:rsid w:val="003F0D75"/>
    <w:rsid w:val="003F22E0"/>
    <w:rsid w:val="003F58B4"/>
    <w:rsid w:val="003F6A9D"/>
    <w:rsid w:val="003F7970"/>
    <w:rsid w:val="00401FA0"/>
    <w:rsid w:val="004044B2"/>
    <w:rsid w:val="00404C0A"/>
    <w:rsid w:val="004069DC"/>
    <w:rsid w:val="0041061D"/>
    <w:rsid w:val="004116CB"/>
    <w:rsid w:val="00420F7A"/>
    <w:rsid w:val="004261FD"/>
    <w:rsid w:val="004279C9"/>
    <w:rsid w:val="00430E6D"/>
    <w:rsid w:val="00431144"/>
    <w:rsid w:val="00431545"/>
    <w:rsid w:val="00433A32"/>
    <w:rsid w:val="00435570"/>
    <w:rsid w:val="00436011"/>
    <w:rsid w:val="004362A9"/>
    <w:rsid w:val="00437F36"/>
    <w:rsid w:val="00441AAB"/>
    <w:rsid w:val="00441B29"/>
    <w:rsid w:val="0044396E"/>
    <w:rsid w:val="004439EC"/>
    <w:rsid w:val="00443FBC"/>
    <w:rsid w:val="004440BF"/>
    <w:rsid w:val="0044487C"/>
    <w:rsid w:val="0044491F"/>
    <w:rsid w:val="00455608"/>
    <w:rsid w:val="004577F5"/>
    <w:rsid w:val="00457FD3"/>
    <w:rsid w:val="00463C50"/>
    <w:rsid w:val="004643C7"/>
    <w:rsid w:val="00466267"/>
    <w:rsid w:val="0047434B"/>
    <w:rsid w:val="00474FBF"/>
    <w:rsid w:val="00476190"/>
    <w:rsid w:val="0047629D"/>
    <w:rsid w:val="00491639"/>
    <w:rsid w:val="00494004"/>
    <w:rsid w:val="00495BEA"/>
    <w:rsid w:val="004A0D90"/>
    <w:rsid w:val="004A2021"/>
    <w:rsid w:val="004A2655"/>
    <w:rsid w:val="004B6D86"/>
    <w:rsid w:val="004B77CC"/>
    <w:rsid w:val="004C0E4E"/>
    <w:rsid w:val="004C0FF2"/>
    <w:rsid w:val="004C66B7"/>
    <w:rsid w:val="004C6E80"/>
    <w:rsid w:val="004D0D3D"/>
    <w:rsid w:val="004D0DA6"/>
    <w:rsid w:val="004D0F44"/>
    <w:rsid w:val="004D3455"/>
    <w:rsid w:val="004D4FDB"/>
    <w:rsid w:val="004D4FF0"/>
    <w:rsid w:val="004D597E"/>
    <w:rsid w:val="004E115E"/>
    <w:rsid w:val="004E497B"/>
    <w:rsid w:val="004E59FA"/>
    <w:rsid w:val="004F01A6"/>
    <w:rsid w:val="004F71F9"/>
    <w:rsid w:val="005009A6"/>
    <w:rsid w:val="00502443"/>
    <w:rsid w:val="0050770E"/>
    <w:rsid w:val="00514618"/>
    <w:rsid w:val="00517004"/>
    <w:rsid w:val="00521AFB"/>
    <w:rsid w:val="00523093"/>
    <w:rsid w:val="00526359"/>
    <w:rsid w:val="00526C39"/>
    <w:rsid w:val="00532549"/>
    <w:rsid w:val="00532B2A"/>
    <w:rsid w:val="0053429C"/>
    <w:rsid w:val="00536D50"/>
    <w:rsid w:val="00542800"/>
    <w:rsid w:val="005429DF"/>
    <w:rsid w:val="00542D61"/>
    <w:rsid w:val="0054311F"/>
    <w:rsid w:val="0054438D"/>
    <w:rsid w:val="00544EF5"/>
    <w:rsid w:val="00546046"/>
    <w:rsid w:val="0055501D"/>
    <w:rsid w:val="005628E4"/>
    <w:rsid w:val="00565841"/>
    <w:rsid w:val="00567C7E"/>
    <w:rsid w:val="00570771"/>
    <w:rsid w:val="005719D6"/>
    <w:rsid w:val="005819FE"/>
    <w:rsid w:val="005833E8"/>
    <w:rsid w:val="005848B5"/>
    <w:rsid w:val="00584C06"/>
    <w:rsid w:val="00587D74"/>
    <w:rsid w:val="0059144A"/>
    <w:rsid w:val="00593DD0"/>
    <w:rsid w:val="005A17DF"/>
    <w:rsid w:val="005A3D1C"/>
    <w:rsid w:val="005A4DB0"/>
    <w:rsid w:val="005B1B54"/>
    <w:rsid w:val="005B57CC"/>
    <w:rsid w:val="005B6007"/>
    <w:rsid w:val="005C24E7"/>
    <w:rsid w:val="005D3E3B"/>
    <w:rsid w:val="005D44DB"/>
    <w:rsid w:val="005E1F0B"/>
    <w:rsid w:val="005E43DE"/>
    <w:rsid w:val="005E4B52"/>
    <w:rsid w:val="005F107E"/>
    <w:rsid w:val="005F16CF"/>
    <w:rsid w:val="005F300B"/>
    <w:rsid w:val="005F3601"/>
    <w:rsid w:val="005F36AF"/>
    <w:rsid w:val="005F5275"/>
    <w:rsid w:val="005F712A"/>
    <w:rsid w:val="00600A7C"/>
    <w:rsid w:val="00602F94"/>
    <w:rsid w:val="006103F8"/>
    <w:rsid w:val="006164C3"/>
    <w:rsid w:val="00621A67"/>
    <w:rsid w:val="00623CAC"/>
    <w:rsid w:val="00627161"/>
    <w:rsid w:val="00631B29"/>
    <w:rsid w:val="00640D9E"/>
    <w:rsid w:val="006450CE"/>
    <w:rsid w:val="00652C74"/>
    <w:rsid w:val="00655C29"/>
    <w:rsid w:val="00657D9F"/>
    <w:rsid w:val="00663AF7"/>
    <w:rsid w:val="00663EC5"/>
    <w:rsid w:val="00663EEB"/>
    <w:rsid w:val="00664DC8"/>
    <w:rsid w:val="0066626B"/>
    <w:rsid w:val="0066752B"/>
    <w:rsid w:val="00670010"/>
    <w:rsid w:val="006731D4"/>
    <w:rsid w:val="006765C4"/>
    <w:rsid w:val="00680DEA"/>
    <w:rsid w:val="006822B7"/>
    <w:rsid w:val="00682AAE"/>
    <w:rsid w:val="00683057"/>
    <w:rsid w:val="00684939"/>
    <w:rsid w:val="0068515E"/>
    <w:rsid w:val="00690734"/>
    <w:rsid w:val="00691A39"/>
    <w:rsid w:val="00692E53"/>
    <w:rsid w:val="00694E65"/>
    <w:rsid w:val="0069555C"/>
    <w:rsid w:val="00695B68"/>
    <w:rsid w:val="0069627C"/>
    <w:rsid w:val="006A0A36"/>
    <w:rsid w:val="006A2DDE"/>
    <w:rsid w:val="006A2E60"/>
    <w:rsid w:val="006B0010"/>
    <w:rsid w:val="006B08CE"/>
    <w:rsid w:val="006B181A"/>
    <w:rsid w:val="006B2C2C"/>
    <w:rsid w:val="006B69CB"/>
    <w:rsid w:val="006B6FF5"/>
    <w:rsid w:val="006B7E88"/>
    <w:rsid w:val="006C0AAB"/>
    <w:rsid w:val="006C1306"/>
    <w:rsid w:val="006C6D7A"/>
    <w:rsid w:val="006C7A93"/>
    <w:rsid w:val="006D17B4"/>
    <w:rsid w:val="006D2096"/>
    <w:rsid w:val="006D2607"/>
    <w:rsid w:val="006D4A34"/>
    <w:rsid w:val="006D78DC"/>
    <w:rsid w:val="006E3D3E"/>
    <w:rsid w:val="006E6B7C"/>
    <w:rsid w:val="006E6BB5"/>
    <w:rsid w:val="006E6DB9"/>
    <w:rsid w:val="006F6335"/>
    <w:rsid w:val="00700922"/>
    <w:rsid w:val="00704C74"/>
    <w:rsid w:val="00706E54"/>
    <w:rsid w:val="00707D14"/>
    <w:rsid w:val="00710F8E"/>
    <w:rsid w:val="00713FF2"/>
    <w:rsid w:val="0071497E"/>
    <w:rsid w:val="00715B50"/>
    <w:rsid w:val="007160CA"/>
    <w:rsid w:val="00720425"/>
    <w:rsid w:val="007221B4"/>
    <w:rsid w:val="00725E23"/>
    <w:rsid w:val="00730BF8"/>
    <w:rsid w:val="00732861"/>
    <w:rsid w:val="007356CB"/>
    <w:rsid w:val="00737CFB"/>
    <w:rsid w:val="0074019E"/>
    <w:rsid w:val="00740DDC"/>
    <w:rsid w:val="00744DEA"/>
    <w:rsid w:val="00747AF9"/>
    <w:rsid w:val="00753446"/>
    <w:rsid w:val="00754B5B"/>
    <w:rsid w:val="00760D1E"/>
    <w:rsid w:val="0076382D"/>
    <w:rsid w:val="00766128"/>
    <w:rsid w:val="0076628A"/>
    <w:rsid w:val="00773D7C"/>
    <w:rsid w:val="00775AFD"/>
    <w:rsid w:val="00780950"/>
    <w:rsid w:val="00783A9D"/>
    <w:rsid w:val="00792493"/>
    <w:rsid w:val="0079603D"/>
    <w:rsid w:val="007979C8"/>
    <w:rsid w:val="007A0306"/>
    <w:rsid w:val="007A172F"/>
    <w:rsid w:val="007A1AFA"/>
    <w:rsid w:val="007A7B3A"/>
    <w:rsid w:val="007B3408"/>
    <w:rsid w:val="007B57F3"/>
    <w:rsid w:val="007B6835"/>
    <w:rsid w:val="007C07F7"/>
    <w:rsid w:val="007C3724"/>
    <w:rsid w:val="007C383A"/>
    <w:rsid w:val="007D1092"/>
    <w:rsid w:val="007D6724"/>
    <w:rsid w:val="007D7D69"/>
    <w:rsid w:val="007E12D6"/>
    <w:rsid w:val="007E2A89"/>
    <w:rsid w:val="007E38E9"/>
    <w:rsid w:val="007E4107"/>
    <w:rsid w:val="007E4901"/>
    <w:rsid w:val="007E4B41"/>
    <w:rsid w:val="007E59EE"/>
    <w:rsid w:val="007E68EB"/>
    <w:rsid w:val="007F0173"/>
    <w:rsid w:val="007F0293"/>
    <w:rsid w:val="007F3B70"/>
    <w:rsid w:val="00800F5E"/>
    <w:rsid w:val="008017F8"/>
    <w:rsid w:val="00802481"/>
    <w:rsid w:val="00813B00"/>
    <w:rsid w:val="00814DCB"/>
    <w:rsid w:val="008168B4"/>
    <w:rsid w:val="00820ED0"/>
    <w:rsid w:val="00825C83"/>
    <w:rsid w:val="008267F5"/>
    <w:rsid w:val="008314F4"/>
    <w:rsid w:val="00834049"/>
    <w:rsid w:val="00834558"/>
    <w:rsid w:val="008373B6"/>
    <w:rsid w:val="0084225B"/>
    <w:rsid w:val="008423C4"/>
    <w:rsid w:val="00843FA4"/>
    <w:rsid w:val="0084461F"/>
    <w:rsid w:val="00845A41"/>
    <w:rsid w:val="00853A61"/>
    <w:rsid w:val="0085534D"/>
    <w:rsid w:val="00855923"/>
    <w:rsid w:val="00856DE4"/>
    <w:rsid w:val="0086066C"/>
    <w:rsid w:val="00867491"/>
    <w:rsid w:val="00867FD5"/>
    <w:rsid w:val="008716CE"/>
    <w:rsid w:val="008747C4"/>
    <w:rsid w:val="00874A96"/>
    <w:rsid w:val="008755E8"/>
    <w:rsid w:val="00875648"/>
    <w:rsid w:val="0088035E"/>
    <w:rsid w:val="00893C75"/>
    <w:rsid w:val="00895C89"/>
    <w:rsid w:val="008975B0"/>
    <w:rsid w:val="008A2FE6"/>
    <w:rsid w:val="008A5421"/>
    <w:rsid w:val="008A5CCA"/>
    <w:rsid w:val="008A5FCF"/>
    <w:rsid w:val="008B2867"/>
    <w:rsid w:val="008B3533"/>
    <w:rsid w:val="008C19CD"/>
    <w:rsid w:val="008C2373"/>
    <w:rsid w:val="008C28D9"/>
    <w:rsid w:val="008D1089"/>
    <w:rsid w:val="008D1C9E"/>
    <w:rsid w:val="008D3FF8"/>
    <w:rsid w:val="008D4FF8"/>
    <w:rsid w:val="008D5785"/>
    <w:rsid w:val="008D7FB3"/>
    <w:rsid w:val="008F3F77"/>
    <w:rsid w:val="008F4411"/>
    <w:rsid w:val="008F5DC1"/>
    <w:rsid w:val="008F7781"/>
    <w:rsid w:val="008F79C3"/>
    <w:rsid w:val="00900C8A"/>
    <w:rsid w:val="0090286C"/>
    <w:rsid w:val="00902A40"/>
    <w:rsid w:val="00905571"/>
    <w:rsid w:val="009105B2"/>
    <w:rsid w:val="009159F6"/>
    <w:rsid w:val="00920FF5"/>
    <w:rsid w:val="00922746"/>
    <w:rsid w:val="00934AF2"/>
    <w:rsid w:val="009412BA"/>
    <w:rsid w:val="00942A10"/>
    <w:rsid w:val="00944B38"/>
    <w:rsid w:val="0094579E"/>
    <w:rsid w:val="00946DA5"/>
    <w:rsid w:val="009506E5"/>
    <w:rsid w:val="009541D1"/>
    <w:rsid w:val="00954E58"/>
    <w:rsid w:val="00955737"/>
    <w:rsid w:val="00955CA6"/>
    <w:rsid w:val="0095743B"/>
    <w:rsid w:val="00961BB9"/>
    <w:rsid w:val="00965260"/>
    <w:rsid w:val="009664D4"/>
    <w:rsid w:val="00967D0D"/>
    <w:rsid w:val="00980BF1"/>
    <w:rsid w:val="00996048"/>
    <w:rsid w:val="009969DB"/>
    <w:rsid w:val="009A17B0"/>
    <w:rsid w:val="009A1ED7"/>
    <w:rsid w:val="009A3282"/>
    <w:rsid w:val="009A47C4"/>
    <w:rsid w:val="009A7174"/>
    <w:rsid w:val="009B53D5"/>
    <w:rsid w:val="009C29B2"/>
    <w:rsid w:val="009C300A"/>
    <w:rsid w:val="009C3CFE"/>
    <w:rsid w:val="009C6AD2"/>
    <w:rsid w:val="009C7913"/>
    <w:rsid w:val="009D1E01"/>
    <w:rsid w:val="009D24B4"/>
    <w:rsid w:val="009D60D6"/>
    <w:rsid w:val="009D6261"/>
    <w:rsid w:val="009D6BD9"/>
    <w:rsid w:val="009E27A0"/>
    <w:rsid w:val="009E2FB2"/>
    <w:rsid w:val="009E4D4E"/>
    <w:rsid w:val="009E7620"/>
    <w:rsid w:val="009F0E94"/>
    <w:rsid w:val="009F6F3A"/>
    <w:rsid w:val="00A04200"/>
    <w:rsid w:val="00A068A8"/>
    <w:rsid w:val="00A120A0"/>
    <w:rsid w:val="00A156EA"/>
    <w:rsid w:val="00A15A00"/>
    <w:rsid w:val="00A16588"/>
    <w:rsid w:val="00A22216"/>
    <w:rsid w:val="00A243CF"/>
    <w:rsid w:val="00A31B39"/>
    <w:rsid w:val="00A35297"/>
    <w:rsid w:val="00A35506"/>
    <w:rsid w:val="00A35A54"/>
    <w:rsid w:val="00A5097E"/>
    <w:rsid w:val="00A52EAF"/>
    <w:rsid w:val="00A64B45"/>
    <w:rsid w:val="00A817FE"/>
    <w:rsid w:val="00A84A65"/>
    <w:rsid w:val="00A91E88"/>
    <w:rsid w:val="00A923F6"/>
    <w:rsid w:val="00A962F9"/>
    <w:rsid w:val="00A97E70"/>
    <w:rsid w:val="00AA0A06"/>
    <w:rsid w:val="00AA7065"/>
    <w:rsid w:val="00AB4D8A"/>
    <w:rsid w:val="00AC14F7"/>
    <w:rsid w:val="00AC2C1C"/>
    <w:rsid w:val="00AC779F"/>
    <w:rsid w:val="00AD282B"/>
    <w:rsid w:val="00AD4199"/>
    <w:rsid w:val="00AD69A5"/>
    <w:rsid w:val="00AE2E0D"/>
    <w:rsid w:val="00AE51BE"/>
    <w:rsid w:val="00AF598A"/>
    <w:rsid w:val="00AF61F9"/>
    <w:rsid w:val="00AF77AC"/>
    <w:rsid w:val="00AF7805"/>
    <w:rsid w:val="00B05987"/>
    <w:rsid w:val="00B0789C"/>
    <w:rsid w:val="00B15576"/>
    <w:rsid w:val="00B22DB6"/>
    <w:rsid w:val="00B32B1D"/>
    <w:rsid w:val="00B33992"/>
    <w:rsid w:val="00B3761D"/>
    <w:rsid w:val="00B41F10"/>
    <w:rsid w:val="00B41FDF"/>
    <w:rsid w:val="00B43697"/>
    <w:rsid w:val="00B44FB5"/>
    <w:rsid w:val="00B47A30"/>
    <w:rsid w:val="00B47CC2"/>
    <w:rsid w:val="00B513BC"/>
    <w:rsid w:val="00B66C7D"/>
    <w:rsid w:val="00B713D8"/>
    <w:rsid w:val="00B72615"/>
    <w:rsid w:val="00B73563"/>
    <w:rsid w:val="00B73D91"/>
    <w:rsid w:val="00B74E31"/>
    <w:rsid w:val="00B762F2"/>
    <w:rsid w:val="00B835FD"/>
    <w:rsid w:val="00B84486"/>
    <w:rsid w:val="00B86C59"/>
    <w:rsid w:val="00B9178B"/>
    <w:rsid w:val="00B92E27"/>
    <w:rsid w:val="00BA20ED"/>
    <w:rsid w:val="00BA4ECC"/>
    <w:rsid w:val="00BB31C4"/>
    <w:rsid w:val="00BB4513"/>
    <w:rsid w:val="00BB7137"/>
    <w:rsid w:val="00BC181A"/>
    <w:rsid w:val="00BC1F49"/>
    <w:rsid w:val="00BC2135"/>
    <w:rsid w:val="00BD3673"/>
    <w:rsid w:val="00BD50C5"/>
    <w:rsid w:val="00BE522E"/>
    <w:rsid w:val="00BE544E"/>
    <w:rsid w:val="00BE7CE6"/>
    <w:rsid w:val="00BF0885"/>
    <w:rsid w:val="00BF1200"/>
    <w:rsid w:val="00BF6AC7"/>
    <w:rsid w:val="00C01D4B"/>
    <w:rsid w:val="00C05C65"/>
    <w:rsid w:val="00C114BD"/>
    <w:rsid w:val="00C147A2"/>
    <w:rsid w:val="00C17138"/>
    <w:rsid w:val="00C177DD"/>
    <w:rsid w:val="00C229F5"/>
    <w:rsid w:val="00C24884"/>
    <w:rsid w:val="00C302DC"/>
    <w:rsid w:val="00C32C14"/>
    <w:rsid w:val="00C332CF"/>
    <w:rsid w:val="00C334B2"/>
    <w:rsid w:val="00C3360C"/>
    <w:rsid w:val="00C343F2"/>
    <w:rsid w:val="00C35010"/>
    <w:rsid w:val="00C357C4"/>
    <w:rsid w:val="00C411B3"/>
    <w:rsid w:val="00C4443D"/>
    <w:rsid w:val="00C4468D"/>
    <w:rsid w:val="00C4472F"/>
    <w:rsid w:val="00C46DAB"/>
    <w:rsid w:val="00C47586"/>
    <w:rsid w:val="00C47868"/>
    <w:rsid w:val="00C54384"/>
    <w:rsid w:val="00C57A76"/>
    <w:rsid w:val="00C61F36"/>
    <w:rsid w:val="00C704EF"/>
    <w:rsid w:val="00C7433B"/>
    <w:rsid w:val="00C77518"/>
    <w:rsid w:val="00C8128A"/>
    <w:rsid w:val="00C83B45"/>
    <w:rsid w:val="00C87486"/>
    <w:rsid w:val="00C96010"/>
    <w:rsid w:val="00C96037"/>
    <w:rsid w:val="00CA2C63"/>
    <w:rsid w:val="00CA2DB0"/>
    <w:rsid w:val="00CA564F"/>
    <w:rsid w:val="00CC166F"/>
    <w:rsid w:val="00CC3B59"/>
    <w:rsid w:val="00CC486D"/>
    <w:rsid w:val="00CE2709"/>
    <w:rsid w:val="00CF1EC1"/>
    <w:rsid w:val="00CF2D58"/>
    <w:rsid w:val="00CF3BC3"/>
    <w:rsid w:val="00CF6740"/>
    <w:rsid w:val="00D06096"/>
    <w:rsid w:val="00D0696C"/>
    <w:rsid w:val="00D1003E"/>
    <w:rsid w:val="00D103F9"/>
    <w:rsid w:val="00D16534"/>
    <w:rsid w:val="00D16A5B"/>
    <w:rsid w:val="00D21E44"/>
    <w:rsid w:val="00D250BB"/>
    <w:rsid w:val="00D375D5"/>
    <w:rsid w:val="00D42B2A"/>
    <w:rsid w:val="00D44B8A"/>
    <w:rsid w:val="00D46E3D"/>
    <w:rsid w:val="00D479ED"/>
    <w:rsid w:val="00D47C1E"/>
    <w:rsid w:val="00D5457F"/>
    <w:rsid w:val="00D56EFD"/>
    <w:rsid w:val="00D57170"/>
    <w:rsid w:val="00D577C2"/>
    <w:rsid w:val="00D62308"/>
    <w:rsid w:val="00D62310"/>
    <w:rsid w:val="00D73051"/>
    <w:rsid w:val="00D74180"/>
    <w:rsid w:val="00D83840"/>
    <w:rsid w:val="00D84230"/>
    <w:rsid w:val="00D84295"/>
    <w:rsid w:val="00D85213"/>
    <w:rsid w:val="00D855E1"/>
    <w:rsid w:val="00D8624E"/>
    <w:rsid w:val="00D8693C"/>
    <w:rsid w:val="00D87309"/>
    <w:rsid w:val="00D87977"/>
    <w:rsid w:val="00D90943"/>
    <w:rsid w:val="00D91EAB"/>
    <w:rsid w:val="00D9235C"/>
    <w:rsid w:val="00D941D0"/>
    <w:rsid w:val="00D94789"/>
    <w:rsid w:val="00DA013E"/>
    <w:rsid w:val="00DA0DB7"/>
    <w:rsid w:val="00DB0472"/>
    <w:rsid w:val="00DB16FA"/>
    <w:rsid w:val="00DB4094"/>
    <w:rsid w:val="00DB461C"/>
    <w:rsid w:val="00DB4DF8"/>
    <w:rsid w:val="00DB5192"/>
    <w:rsid w:val="00DC1100"/>
    <w:rsid w:val="00DC2C4C"/>
    <w:rsid w:val="00DC3B61"/>
    <w:rsid w:val="00DC7466"/>
    <w:rsid w:val="00DD0CAD"/>
    <w:rsid w:val="00DD2AD4"/>
    <w:rsid w:val="00DD478D"/>
    <w:rsid w:val="00DE2012"/>
    <w:rsid w:val="00DE3D36"/>
    <w:rsid w:val="00DE6469"/>
    <w:rsid w:val="00DF13BB"/>
    <w:rsid w:val="00DF2374"/>
    <w:rsid w:val="00DF48E1"/>
    <w:rsid w:val="00E013F0"/>
    <w:rsid w:val="00E03003"/>
    <w:rsid w:val="00E03B79"/>
    <w:rsid w:val="00E07C32"/>
    <w:rsid w:val="00E10121"/>
    <w:rsid w:val="00E1322F"/>
    <w:rsid w:val="00E13EF2"/>
    <w:rsid w:val="00E176FC"/>
    <w:rsid w:val="00E25029"/>
    <w:rsid w:val="00E252D8"/>
    <w:rsid w:val="00E25482"/>
    <w:rsid w:val="00E33F48"/>
    <w:rsid w:val="00E33F56"/>
    <w:rsid w:val="00E3463A"/>
    <w:rsid w:val="00E34752"/>
    <w:rsid w:val="00E35907"/>
    <w:rsid w:val="00E416A8"/>
    <w:rsid w:val="00E463EE"/>
    <w:rsid w:val="00E537FA"/>
    <w:rsid w:val="00E572CD"/>
    <w:rsid w:val="00E60837"/>
    <w:rsid w:val="00E747AB"/>
    <w:rsid w:val="00E80600"/>
    <w:rsid w:val="00E85AAC"/>
    <w:rsid w:val="00E8712A"/>
    <w:rsid w:val="00E90FDD"/>
    <w:rsid w:val="00E916EA"/>
    <w:rsid w:val="00E927D2"/>
    <w:rsid w:val="00E92D1C"/>
    <w:rsid w:val="00E94FBB"/>
    <w:rsid w:val="00E95BAB"/>
    <w:rsid w:val="00EA0F29"/>
    <w:rsid w:val="00EA3755"/>
    <w:rsid w:val="00EA4565"/>
    <w:rsid w:val="00EA6429"/>
    <w:rsid w:val="00EA6C01"/>
    <w:rsid w:val="00EB6958"/>
    <w:rsid w:val="00EC0AFE"/>
    <w:rsid w:val="00EC1D3D"/>
    <w:rsid w:val="00EC296F"/>
    <w:rsid w:val="00EC4950"/>
    <w:rsid w:val="00ED3479"/>
    <w:rsid w:val="00ED36CA"/>
    <w:rsid w:val="00ED3787"/>
    <w:rsid w:val="00ED4C04"/>
    <w:rsid w:val="00ED7401"/>
    <w:rsid w:val="00EE1DE2"/>
    <w:rsid w:val="00EF192C"/>
    <w:rsid w:val="00F03373"/>
    <w:rsid w:val="00F0535A"/>
    <w:rsid w:val="00F07A9B"/>
    <w:rsid w:val="00F10C2B"/>
    <w:rsid w:val="00F159DF"/>
    <w:rsid w:val="00F16B36"/>
    <w:rsid w:val="00F205A1"/>
    <w:rsid w:val="00F21CEF"/>
    <w:rsid w:val="00F22456"/>
    <w:rsid w:val="00F22AE3"/>
    <w:rsid w:val="00F231F7"/>
    <w:rsid w:val="00F2360A"/>
    <w:rsid w:val="00F26DFD"/>
    <w:rsid w:val="00F4161E"/>
    <w:rsid w:val="00F5469D"/>
    <w:rsid w:val="00F55BE6"/>
    <w:rsid w:val="00F60F25"/>
    <w:rsid w:val="00F61679"/>
    <w:rsid w:val="00F622B6"/>
    <w:rsid w:val="00F63DE0"/>
    <w:rsid w:val="00F64D3D"/>
    <w:rsid w:val="00F70AE9"/>
    <w:rsid w:val="00F71F6D"/>
    <w:rsid w:val="00F8583E"/>
    <w:rsid w:val="00F86AAA"/>
    <w:rsid w:val="00F9016E"/>
    <w:rsid w:val="00F902F2"/>
    <w:rsid w:val="00F905F2"/>
    <w:rsid w:val="00F927F7"/>
    <w:rsid w:val="00F92AD9"/>
    <w:rsid w:val="00F96FDF"/>
    <w:rsid w:val="00FA6652"/>
    <w:rsid w:val="00FA6FA6"/>
    <w:rsid w:val="00FB1CB0"/>
    <w:rsid w:val="00FB7457"/>
    <w:rsid w:val="00FB75DF"/>
    <w:rsid w:val="00FC0109"/>
    <w:rsid w:val="00FC40DB"/>
    <w:rsid w:val="00FC6270"/>
    <w:rsid w:val="00FC7A78"/>
    <w:rsid w:val="00FD2A3E"/>
    <w:rsid w:val="00FD607B"/>
    <w:rsid w:val="00FE2BE9"/>
    <w:rsid w:val="00FE39E3"/>
    <w:rsid w:val="00FE77A1"/>
    <w:rsid w:val="00FF092D"/>
    <w:rsid w:val="00FF3DD9"/>
    <w:rsid w:val="00FF417A"/>
    <w:rsid w:val="00FF4509"/>
    <w:rsid w:val="03F6C312"/>
    <w:rsid w:val="084A0282"/>
    <w:rsid w:val="0A21BBCB"/>
    <w:rsid w:val="0BC995B9"/>
    <w:rsid w:val="0C127216"/>
    <w:rsid w:val="0DAEC326"/>
    <w:rsid w:val="0E52A716"/>
    <w:rsid w:val="0E987868"/>
    <w:rsid w:val="0ECA1965"/>
    <w:rsid w:val="1180446F"/>
    <w:rsid w:val="11A29889"/>
    <w:rsid w:val="11F22A58"/>
    <w:rsid w:val="13324923"/>
    <w:rsid w:val="13A970B3"/>
    <w:rsid w:val="13FE50B3"/>
    <w:rsid w:val="154C9624"/>
    <w:rsid w:val="15D6EA1E"/>
    <w:rsid w:val="1CE2F1B8"/>
    <w:rsid w:val="2151008A"/>
    <w:rsid w:val="23ECF450"/>
    <w:rsid w:val="249C5EC5"/>
    <w:rsid w:val="257B3099"/>
    <w:rsid w:val="2657534C"/>
    <w:rsid w:val="28FF83E3"/>
    <w:rsid w:val="2A56D7A8"/>
    <w:rsid w:val="2E5213F8"/>
    <w:rsid w:val="2EE79FC6"/>
    <w:rsid w:val="2F6C85DA"/>
    <w:rsid w:val="303686EF"/>
    <w:rsid w:val="30755F26"/>
    <w:rsid w:val="3412DCEE"/>
    <w:rsid w:val="347CEBF2"/>
    <w:rsid w:val="350992BA"/>
    <w:rsid w:val="3579D56A"/>
    <w:rsid w:val="3684C40D"/>
    <w:rsid w:val="371EFD9B"/>
    <w:rsid w:val="3C41DC84"/>
    <w:rsid w:val="3D3EF352"/>
    <w:rsid w:val="3D634461"/>
    <w:rsid w:val="3E60DDB1"/>
    <w:rsid w:val="3E8EC795"/>
    <w:rsid w:val="3E981254"/>
    <w:rsid w:val="3F23CA3F"/>
    <w:rsid w:val="40FCDF72"/>
    <w:rsid w:val="42621552"/>
    <w:rsid w:val="4265DF15"/>
    <w:rsid w:val="434AD8A2"/>
    <w:rsid w:val="437A984A"/>
    <w:rsid w:val="44140F66"/>
    <w:rsid w:val="447DECA0"/>
    <w:rsid w:val="499F5E20"/>
    <w:rsid w:val="4B02F00E"/>
    <w:rsid w:val="4D0B9235"/>
    <w:rsid w:val="4D8A6684"/>
    <w:rsid w:val="4DC06FB0"/>
    <w:rsid w:val="4E0E92EE"/>
    <w:rsid w:val="4E7071CF"/>
    <w:rsid w:val="4F1D4B67"/>
    <w:rsid w:val="4F5813FC"/>
    <w:rsid w:val="4F69A06C"/>
    <w:rsid w:val="5038F337"/>
    <w:rsid w:val="51AE362A"/>
    <w:rsid w:val="522A92B8"/>
    <w:rsid w:val="5311F57B"/>
    <w:rsid w:val="5590913E"/>
    <w:rsid w:val="5672FBFA"/>
    <w:rsid w:val="5693F5A2"/>
    <w:rsid w:val="57DBC043"/>
    <w:rsid w:val="5F394310"/>
    <w:rsid w:val="62F0DA00"/>
    <w:rsid w:val="65C93633"/>
    <w:rsid w:val="668D3083"/>
    <w:rsid w:val="6733444D"/>
    <w:rsid w:val="6922F18E"/>
    <w:rsid w:val="6A00D722"/>
    <w:rsid w:val="6AFACAD0"/>
    <w:rsid w:val="6BF790FC"/>
    <w:rsid w:val="6CFD9FB6"/>
    <w:rsid w:val="6DE464C4"/>
    <w:rsid w:val="6E4776B3"/>
    <w:rsid w:val="7050DF68"/>
    <w:rsid w:val="73AC7584"/>
    <w:rsid w:val="7556AD3B"/>
    <w:rsid w:val="78BE82C9"/>
    <w:rsid w:val="79147F9D"/>
    <w:rsid w:val="79506284"/>
    <w:rsid w:val="7AC8C07F"/>
    <w:rsid w:val="7D6D2A37"/>
    <w:rsid w:val="7F2C464B"/>
    <w:rsid w:val="7F6B87DB"/>
    <w:rsid w:val="7FB6E0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61AC05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053"/>
  </w:style>
  <w:style w:type="paragraph" w:styleId="Heading1">
    <w:name w:val="heading 1"/>
    <w:basedOn w:val="ListParagraph"/>
    <w:next w:val="Normal"/>
    <w:link w:val="Heading1Char"/>
    <w:uiPriority w:val="9"/>
    <w:qFormat/>
    <w:rsid w:val="00F22456"/>
    <w:pPr>
      <w:numPr>
        <w:numId w:val="1"/>
      </w:numPr>
      <w:outlineLvl w:val="0"/>
    </w:pPr>
    <w:rPr>
      <w:rFonts w:ascii="Calibri" w:hAnsi="Calibri"/>
      <w:b/>
      <w:color w:val="385623" w:themeColor="accent6" w:themeShade="80"/>
      <w:sz w:val="28"/>
      <w:szCs w:val="28"/>
    </w:rPr>
  </w:style>
  <w:style w:type="paragraph" w:styleId="Heading2">
    <w:name w:val="heading 2"/>
    <w:basedOn w:val="ListParagraph"/>
    <w:next w:val="Normal"/>
    <w:link w:val="Heading2Char"/>
    <w:uiPriority w:val="9"/>
    <w:unhideWhenUsed/>
    <w:qFormat/>
    <w:rsid w:val="00F22456"/>
    <w:pPr>
      <w:numPr>
        <w:ilvl w:val="1"/>
        <w:numId w:val="1"/>
      </w:numPr>
      <w:spacing w:after="240"/>
      <w:outlineLvl w:val="1"/>
    </w:pPr>
    <w:rPr>
      <w:rFonts w:ascii="Calibri" w:hAnsi="Calibri"/>
      <w:b/>
      <w:color w:val="385623" w:themeColor="accent6" w:themeShade="80"/>
      <w:sz w:val="28"/>
      <w:szCs w:val="28"/>
    </w:rPr>
  </w:style>
  <w:style w:type="paragraph" w:styleId="Heading3">
    <w:name w:val="heading 3"/>
    <w:basedOn w:val="Normal"/>
    <w:next w:val="Normal"/>
    <w:link w:val="Heading3Char"/>
    <w:uiPriority w:val="9"/>
    <w:unhideWhenUsed/>
    <w:qFormat/>
    <w:rsid w:val="00060125"/>
    <w:pPr>
      <w:keepNext/>
      <w:keepLines/>
      <w:numPr>
        <w:ilvl w:val="2"/>
        <w:numId w:val="1"/>
      </w:numPr>
      <w:spacing w:before="40"/>
      <w:outlineLvl w:val="2"/>
    </w:pPr>
    <w:rPr>
      <w:rFonts w:eastAsiaTheme="majorEastAsia" w:cstheme="minorHAnsi"/>
      <w:b/>
      <w:bCs/>
      <w:color w:val="000000" w:themeColor="text1"/>
    </w:rPr>
  </w:style>
  <w:style w:type="paragraph" w:styleId="Heading4">
    <w:name w:val="heading 4"/>
    <w:basedOn w:val="Normal"/>
    <w:next w:val="Normal"/>
    <w:link w:val="Heading4Char"/>
    <w:uiPriority w:val="9"/>
    <w:semiHidden/>
    <w:unhideWhenUsed/>
    <w:qFormat/>
    <w:rsid w:val="003F22E0"/>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F22E0"/>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F22E0"/>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F22E0"/>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F22E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F22E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010"/>
    <w:pPr>
      <w:ind w:left="720"/>
      <w:contextualSpacing/>
    </w:pPr>
  </w:style>
  <w:style w:type="character" w:customStyle="1" w:styleId="normaltextrun">
    <w:name w:val="normaltextrun"/>
    <w:basedOn w:val="DefaultParagraphFont"/>
    <w:rsid w:val="00C35010"/>
  </w:style>
  <w:style w:type="paragraph" w:customStyle="1" w:styleId="paragraph">
    <w:name w:val="paragraph"/>
    <w:basedOn w:val="Normal"/>
    <w:rsid w:val="00C35010"/>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3A6F15"/>
  </w:style>
  <w:style w:type="table" w:styleId="TableGrid">
    <w:name w:val="Table Grid"/>
    <w:basedOn w:val="TableNormal"/>
    <w:uiPriority w:val="39"/>
    <w:rsid w:val="003A6F15"/>
    <w:rPr>
      <w:rFonts w:eastAsiaTheme="minorEastAsia"/>
      <w:kern w:val="2"/>
      <w:sz w:val="22"/>
      <w:szCs w:val="22"/>
      <w:lang w:eastAsia="ja-JP"/>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3A6F15"/>
    <w:rPr>
      <w:rFonts w:eastAsia="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6F1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6F15"/>
    <w:rPr>
      <w:rFonts w:ascii="Times New Roman" w:hAnsi="Times New Roman" w:cs="Times New Roman"/>
      <w:sz w:val="18"/>
      <w:szCs w:val="18"/>
    </w:rPr>
  </w:style>
  <w:style w:type="paragraph" w:styleId="Header">
    <w:name w:val="header"/>
    <w:basedOn w:val="Normal"/>
    <w:link w:val="HeaderChar"/>
    <w:uiPriority w:val="99"/>
    <w:unhideWhenUsed/>
    <w:rsid w:val="003A6F15"/>
    <w:pPr>
      <w:tabs>
        <w:tab w:val="center" w:pos="4680"/>
        <w:tab w:val="right" w:pos="9360"/>
      </w:tabs>
    </w:pPr>
  </w:style>
  <w:style w:type="character" w:customStyle="1" w:styleId="HeaderChar">
    <w:name w:val="Header Char"/>
    <w:basedOn w:val="DefaultParagraphFont"/>
    <w:link w:val="Header"/>
    <w:uiPriority w:val="99"/>
    <w:rsid w:val="003A6F15"/>
  </w:style>
  <w:style w:type="paragraph" w:styleId="Footer">
    <w:name w:val="footer"/>
    <w:basedOn w:val="Normal"/>
    <w:link w:val="FooterChar"/>
    <w:uiPriority w:val="99"/>
    <w:unhideWhenUsed/>
    <w:rsid w:val="003A6F15"/>
    <w:pPr>
      <w:tabs>
        <w:tab w:val="center" w:pos="4680"/>
        <w:tab w:val="right" w:pos="9360"/>
      </w:tabs>
    </w:pPr>
  </w:style>
  <w:style w:type="character" w:customStyle="1" w:styleId="FooterChar">
    <w:name w:val="Footer Char"/>
    <w:basedOn w:val="DefaultParagraphFont"/>
    <w:link w:val="Footer"/>
    <w:uiPriority w:val="99"/>
    <w:rsid w:val="003A6F15"/>
  </w:style>
  <w:style w:type="character" w:styleId="PageNumber">
    <w:name w:val="page number"/>
    <w:basedOn w:val="DefaultParagraphFont"/>
    <w:uiPriority w:val="99"/>
    <w:semiHidden/>
    <w:unhideWhenUsed/>
    <w:rsid w:val="003A6F15"/>
  </w:style>
  <w:style w:type="character" w:styleId="CommentReference">
    <w:name w:val="annotation reference"/>
    <w:basedOn w:val="DefaultParagraphFont"/>
    <w:uiPriority w:val="99"/>
    <w:semiHidden/>
    <w:unhideWhenUsed/>
    <w:rsid w:val="005C24E7"/>
    <w:rPr>
      <w:sz w:val="18"/>
      <w:szCs w:val="18"/>
    </w:rPr>
  </w:style>
  <w:style w:type="paragraph" w:styleId="CommentText">
    <w:name w:val="annotation text"/>
    <w:basedOn w:val="Normal"/>
    <w:link w:val="CommentTextChar"/>
    <w:uiPriority w:val="99"/>
    <w:unhideWhenUsed/>
    <w:rsid w:val="005C24E7"/>
  </w:style>
  <w:style w:type="character" w:customStyle="1" w:styleId="CommentTextChar">
    <w:name w:val="Comment Text Char"/>
    <w:basedOn w:val="DefaultParagraphFont"/>
    <w:link w:val="CommentText"/>
    <w:uiPriority w:val="99"/>
    <w:rsid w:val="005C24E7"/>
  </w:style>
  <w:style w:type="paragraph" w:styleId="CommentSubject">
    <w:name w:val="annotation subject"/>
    <w:basedOn w:val="CommentText"/>
    <w:next w:val="CommentText"/>
    <w:link w:val="CommentSubjectChar"/>
    <w:uiPriority w:val="99"/>
    <w:semiHidden/>
    <w:unhideWhenUsed/>
    <w:rsid w:val="005C24E7"/>
    <w:rPr>
      <w:b/>
      <w:bCs/>
      <w:sz w:val="20"/>
      <w:szCs w:val="20"/>
    </w:rPr>
  </w:style>
  <w:style w:type="character" w:customStyle="1" w:styleId="CommentSubjectChar">
    <w:name w:val="Comment Subject Char"/>
    <w:basedOn w:val="CommentTextChar"/>
    <w:link w:val="CommentSubject"/>
    <w:uiPriority w:val="99"/>
    <w:semiHidden/>
    <w:rsid w:val="005C24E7"/>
    <w:rPr>
      <w:b/>
      <w:bCs/>
      <w:sz w:val="20"/>
      <w:szCs w:val="20"/>
    </w:rPr>
  </w:style>
  <w:style w:type="character" w:customStyle="1" w:styleId="markikaljla81">
    <w:name w:val="markikaljla81"/>
    <w:basedOn w:val="DefaultParagraphFont"/>
    <w:rsid w:val="00F231F7"/>
  </w:style>
  <w:style w:type="table" w:customStyle="1" w:styleId="ListTable3-Accent61">
    <w:name w:val="List Table 3 - Accent 61"/>
    <w:basedOn w:val="TableNormal"/>
    <w:uiPriority w:val="48"/>
    <w:rsid w:val="00B513BC"/>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GridTable4-Accent61">
    <w:name w:val="Grid Table 4 - Accent 61"/>
    <w:basedOn w:val="TableNormal"/>
    <w:uiPriority w:val="49"/>
    <w:rsid w:val="006C6D7A"/>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Default">
    <w:name w:val="Default"/>
    <w:rsid w:val="00934AF2"/>
    <w:pPr>
      <w:autoSpaceDE w:val="0"/>
      <w:autoSpaceDN w:val="0"/>
      <w:adjustRightInd w:val="0"/>
    </w:pPr>
    <w:rPr>
      <w:rFonts w:ascii="IberPangea Text Light" w:hAnsi="IberPangea Text Light" w:cs="IberPangea Text Light"/>
      <w:color w:val="000000"/>
      <w:lang w:val="en-US"/>
    </w:rPr>
  </w:style>
  <w:style w:type="paragraph" w:styleId="Revision">
    <w:name w:val="Revision"/>
    <w:hidden/>
    <w:uiPriority w:val="99"/>
    <w:semiHidden/>
    <w:rsid w:val="00856DE4"/>
  </w:style>
  <w:style w:type="table" w:customStyle="1" w:styleId="TableGrid1">
    <w:name w:val="Table Grid1"/>
    <w:basedOn w:val="TableNormal"/>
    <w:next w:val="TableGrid"/>
    <w:uiPriority w:val="39"/>
    <w:rsid w:val="006A2E60"/>
    <w:rPr>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22456"/>
    <w:rPr>
      <w:rFonts w:ascii="Calibri" w:hAnsi="Calibri"/>
      <w:b/>
      <w:color w:val="385623" w:themeColor="accent6" w:themeShade="80"/>
      <w:sz w:val="28"/>
      <w:szCs w:val="28"/>
    </w:rPr>
  </w:style>
  <w:style w:type="paragraph" w:styleId="TOCHeading">
    <w:name w:val="TOC Heading"/>
    <w:basedOn w:val="Heading1"/>
    <w:next w:val="Normal"/>
    <w:uiPriority w:val="39"/>
    <w:unhideWhenUsed/>
    <w:qFormat/>
    <w:rsid w:val="00A35506"/>
    <w:pPr>
      <w:spacing w:line="259" w:lineRule="auto"/>
      <w:outlineLvl w:val="9"/>
    </w:pPr>
    <w:rPr>
      <w:lang w:val="en-US"/>
    </w:rPr>
  </w:style>
  <w:style w:type="paragraph" w:styleId="TOC2">
    <w:name w:val="toc 2"/>
    <w:basedOn w:val="Normal"/>
    <w:next w:val="Normal"/>
    <w:autoRedefine/>
    <w:uiPriority w:val="39"/>
    <w:unhideWhenUsed/>
    <w:rsid w:val="00A35506"/>
    <w:pPr>
      <w:spacing w:after="100" w:line="259" w:lineRule="auto"/>
      <w:ind w:left="220"/>
    </w:pPr>
    <w:rPr>
      <w:rFonts w:eastAsiaTheme="minorEastAsia" w:cs="Times New Roman"/>
      <w:sz w:val="22"/>
      <w:szCs w:val="22"/>
      <w:lang w:val="en-US"/>
    </w:rPr>
  </w:style>
  <w:style w:type="paragraph" w:styleId="TOC1">
    <w:name w:val="toc 1"/>
    <w:basedOn w:val="Normal"/>
    <w:next w:val="Normal"/>
    <w:autoRedefine/>
    <w:uiPriority w:val="39"/>
    <w:unhideWhenUsed/>
    <w:rsid w:val="00542800"/>
    <w:pPr>
      <w:tabs>
        <w:tab w:val="left" w:pos="440"/>
        <w:tab w:val="right" w:leader="dot" w:pos="9010"/>
      </w:tabs>
      <w:spacing w:after="100" w:line="259" w:lineRule="auto"/>
    </w:pPr>
    <w:rPr>
      <w:rFonts w:eastAsiaTheme="minorEastAsia" w:cs="Times New Roman"/>
      <w:noProof/>
      <w:color w:val="000000" w:themeColor="text1" w:themeShade="80"/>
      <w:sz w:val="22"/>
      <w:szCs w:val="22"/>
      <w:lang w:val="en-US"/>
    </w:rPr>
  </w:style>
  <w:style w:type="paragraph" w:styleId="TOC3">
    <w:name w:val="toc 3"/>
    <w:basedOn w:val="Normal"/>
    <w:next w:val="Normal"/>
    <w:autoRedefine/>
    <w:uiPriority w:val="39"/>
    <w:unhideWhenUsed/>
    <w:rsid w:val="00A35506"/>
    <w:pPr>
      <w:spacing w:after="100" w:line="259" w:lineRule="auto"/>
      <w:ind w:left="440"/>
    </w:pPr>
    <w:rPr>
      <w:rFonts w:eastAsiaTheme="minorEastAsia" w:cs="Times New Roman"/>
      <w:sz w:val="22"/>
      <w:szCs w:val="22"/>
      <w:lang w:val="en-US"/>
    </w:rPr>
  </w:style>
  <w:style w:type="character" w:customStyle="1" w:styleId="Heading2Char">
    <w:name w:val="Heading 2 Char"/>
    <w:basedOn w:val="DefaultParagraphFont"/>
    <w:link w:val="Heading2"/>
    <w:uiPriority w:val="9"/>
    <w:rsid w:val="00F22456"/>
    <w:rPr>
      <w:rFonts w:ascii="Calibri" w:hAnsi="Calibri"/>
      <w:b/>
      <w:color w:val="385623" w:themeColor="accent6" w:themeShade="80"/>
      <w:sz w:val="28"/>
      <w:szCs w:val="28"/>
    </w:rPr>
  </w:style>
  <w:style w:type="character" w:customStyle="1" w:styleId="Heading3Char">
    <w:name w:val="Heading 3 Char"/>
    <w:basedOn w:val="DefaultParagraphFont"/>
    <w:link w:val="Heading3"/>
    <w:uiPriority w:val="9"/>
    <w:rsid w:val="00060125"/>
    <w:rPr>
      <w:rFonts w:eastAsiaTheme="majorEastAsia" w:cstheme="minorHAnsi"/>
      <w:b/>
      <w:bCs/>
      <w:color w:val="000000" w:themeColor="text1"/>
    </w:rPr>
  </w:style>
  <w:style w:type="character" w:customStyle="1" w:styleId="Heading4Char">
    <w:name w:val="Heading 4 Char"/>
    <w:basedOn w:val="DefaultParagraphFont"/>
    <w:link w:val="Heading4"/>
    <w:uiPriority w:val="9"/>
    <w:semiHidden/>
    <w:rsid w:val="003F22E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F22E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F22E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F22E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F22E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F22E0"/>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AD69A5"/>
    <w:rPr>
      <w:color w:val="0563C1" w:themeColor="hyperlink"/>
      <w:u w:val="single"/>
    </w:rPr>
  </w:style>
  <w:style w:type="paragraph" w:styleId="Subtitle">
    <w:name w:val="Subtitle"/>
    <w:basedOn w:val="Normal"/>
    <w:next w:val="Normal"/>
    <w:link w:val="SubtitleChar"/>
    <w:uiPriority w:val="11"/>
    <w:qFormat/>
    <w:rsid w:val="0017261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172616"/>
    <w:rPr>
      <w:rFonts w:eastAsiaTheme="minorEastAsia"/>
      <w:color w:val="5A5A5A" w:themeColor="text1" w:themeTint="A5"/>
      <w:spacing w:val="15"/>
      <w:sz w:val="22"/>
      <w:szCs w:val="22"/>
    </w:rPr>
  </w:style>
  <w:style w:type="character" w:customStyle="1" w:styleId="UnresolvedMention1">
    <w:name w:val="Unresolved Mention1"/>
    <w:basedOn w:val="DefaultParagraphFont"/>
    <w:uiPriority w:val="99"/>
    <w:semiHidden/>
    <w:unhideWhenUsed/>
    <w:rsid w:val="00AC779F"/>
    <w:rPr>
      <w:color w:val="605E5C"/>
      <w:shd w:val="clear" w:color="auto" w:fill="E1DFDD"/>
    </w:rPr>
  </w:style>
  <w:style w:type="paragraph" w:styleId="FootnoteText">
    <w:name w:val="footnote text"/>
    <w:basedOn w:val="Normal"/>
    <w:link w:val="FootnoteTextChar"/>
    <w:uiPriority w:val="99"/>
    <w:semiHidden/>
    <w:unhideWhenUsed/>
    <w:rsid w:val="00E60837"/>
    <w:rPr>
      <w:sz w:val="20"/>
      <w:szCs w:val="20"/>
    </w:rPr>
  </w:style>
  <w:style w:type="character" w:customStyle="1" w:styleId="FootnoteTextChar">
    <w:name w:val="Footnote Text Char"/>
    <w:basedOn w:val="DefaultParagraphFont"/>
    <w:link w:val="FootnoteText"/>
    <w:uiPriority w:val="99"/>
    <w:semiHidden/>
    <w:rsid w:val="00E60837"/>
    <w:rPr>
      <w:sz w:val="20"/>
      <w:szCs w:val="20"/>
    </w:rPr>
  </w:style>
  <w:style w:type="character" w:styleId="FootnoteReference">
    <w:name w:val="footnote reference"/>
    <w:basedOn w:val="DefaultParagraphFont"/>
    <w:uiPriority w:val="99"/>
    <w:semiHidden/>
    <w:unhideWhenUsed/>
    <w:rsid w:val="00E60837"/>
    <w:rPr>
      <w:vertAlign w:val="superscript"/>
    </w:rPr>
  </w:style>
  <w:style w:type="paragraph" w:customStyle="1" w:styleId="elementtoproof">
    <w:name w:val="elementtoproof"/>
    <w:basedOn w:val="Normal"/>
    <w:rsid w:val="00D941D0"/>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053"/>
  </w:style>
  <w:style w:type="paragraph" w:styleId="Heading1">
    <w:name w:val="heading 1"/>
    <w:basedOn w:val="ListParagraph"/>
    <w:next w:val="Normal"/>
    <w:link w:val="Heading1Char"/>
    <w:uiPriority w:val="9"/>
    <w:qFormat/>
    <w:rsid w:val="00F22456"/>
    <w:pPr>
      <w:numPr>
        <w:numId w:val="1"/>
      </w:numPr>
      <w:outlineLvl w:val="0"/>
    </w:pPr>
    <w:rPr>
      <w:rFonts w:ascii="Calibri" w:hAnsi="Calibri"/>
      <w:b/>
      <w:color w:val="385623" w:themeColor="accent6" w:themeShade="80"/>
      <w:sz w:val="28"/>
      <w:szCs w:val="28"/>
    </w:rPr>
  </w:style>
  <w:style w:type="paragraph" w:styleId="Heading2">
    <w:name w:val="heading 2"/>
    <w:basedOn w:val="ListParagraph"/>
    <w:next w:val="Normal"/>
    <w:link w:val="Heading2Char"/>
    <w:uiPriority w:val="9"/>
    <w:unhideWhenUsed/>
    <w:qFormat/>
    <w:rsid w:val="00F22456"/>
    <w:pPr>
      <w:numPr>
        <w:ilvl w:val="1"/>
        <w:numId w:val="1"/>
      </w:numPr>
      <w:spacing w:after="240"/>
      <w:outlineLvl w:val="1"/>
    </w:pPr>
    <w:rPr>
      <w:rFonts w:ascii="Calibri" w:hAnsi="Calibri"/>
      <w:b/>
      <w:color w:val="385623" w:themeColor="accent6" w:themeShade="80"/>
      <w:sz w:val="28"/>
      <w:szCs w:val="28"/>
    </w:rPr>
  </w:style>
  <w:style w:type="paragraph" w:styleId="Heading3">
    <w:name w:val="heading 3"/>
    <w:basedOn w:val="Normal"/>
    <w:next w:val="Normal"/>
    <w:link w:val="Heading3Char"/>
    <w:uiPriority w:val="9"/>
    <w:unhideWhenUsed/>
    <w:qFormat/>
    <w:rsid w:val="00060125"/>
    <w:pPr>
      <w:keepNext/>
      <w:keepLines/>
      <w:numPr>
        <w:ilvl w:val="2"/>
        <w:numId w:val="1"/>
      </w:numPr>
      <w:spacing w:before="40"/>
      <w:outlineLvl w:val="2"/>
    </w:pPr>
    <w:rPr>
      <w:rFonts w:eastAsiaTheme="majorEastAsia" w:cstheme="minorHAnsi"/>
      <w:b/>
      <w:bCs/>
      <w:color w:val="000000" w:themeColor="text1"/>
    </w:rPr>
  </w:style>
  <w:style w:type="paragraph" w:styleId="Heading4">
    <w:name w:val="heading 4"/>
    <w:basedOn w:val="Normal"/>
    <w:next w:val="Normal"/>
    <w:link w:val="Heading4Char"/>
    <w:uiPriority w:val="9"/>
    <w:semiHidden/>
    <w:unhideWhenUsed/>
    <w:qFormat/>
    <w:rsid w:val="003F22E0"/>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F22E0"/>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F22E0"/>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F22E0"/>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F22E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F22E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010"/>
    <w:pPr>
      <w:ind w:left="720"/>
      <w:contextualSpacing/>
    </w:pPr>
  </w:style>
  <w:style w:type="character" w:customStyle="1" w:styleId="normaltextrun">
    <w:name w:val="normaltextrun"/>
    <w:basedOn w:val="DefaultParagraphFont"/>
    <w:rsid w:val="00C35010"/>
  </w:style>
  <w:style w:type="paragraph" w:customStyle="1" w:styleId="paragraph">
    <w:name w:val="paragraph"/>
    <w:basedOn w:val="Normal"/>
    <w:rsid w:val="00C35010"/>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3A6F15"/>
  </w:style>
  <w:style w:type="table" w:styleId="TableGrid">
    <w:name w:val="Table Grid"/>
    <w:basedOn w:val="TableNormal"/>
    <w:uiPriority w:val="39"/>
    <w:rsid w:val="003A6F15"/>
    <w:rPr>
      <w:rFonts w:eastAsiaTheme="minorEastAsia"/>
      <w:kern w:val="2"/>
      <w:sz w:val="22"/>
      <w:szCs w:val="22"/>
      <w:lang w:eastAsia="ja-JP"/>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3A6F15"/>
    <w:rPr>
      <w:rFonts w:eastAsia="Calibri"/>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6F1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6F15"/>
    <w:rPr>
      <w:rFonts w:ascii="Times New Roman" w:hAnsi="Times New Roman" w:cs="Times New Roman"/>
      <w:sz w:val="18"/>
      <w:szCs w:val="18"/>
    </w:rPr>
  </w:style>
  <w:style w:type="paragraph" w:styleId="Header">
    <w:name w:val="header"/>
    <w:basedOn w:val="Normal"/>
    <w:link w:val="HeaderChar"/>
    <w:uiPriority w:val="99"/>
    <w:unhideWhenUsed/>
    <w:rsid w:val="003A6F15"/>
    <w:pPr>
      <w:tabs>
        <w:tab w:val="center" w:pos="4680"/>
        <w:tab w:val="right" w:pos="9360"/>
      </w:tabs>
    </w:pPr>
  </w:style>
  <w:style w:type="character" w:customStyle="1" w:styleId="HeaderChar">
    <w:name w:val="Header Char"/>
    <w:basedOn w:val="DefaultParagraphFont"/>
    <w:link w:val="Header"/>
    <w:uiPriority w:val="99"/>
    <w:rsid w:val="003A6F15"/>
  </w:style>
  <w:style w:type="paragraph" w:styleId="Footer">
    <w:name w:val="footer"/>
    <w:basedOn w:val="Normal"/>
    <w:link w:val="FooterChar"/>
    <w:uiPriority w:val="99"/>
    <w:unhideWhenUsed/>
    <w:rsid w:val="003A6F15"/>
    <w:pPr>
      <w:tabs>
        <w:tab w:val="center" w:pos="4680"/>
        <w:tab w:val="right" w:pos="9360"/>
      </w:tabs>
    </w:pPr>
  </w:style>
  <w:style w:type="character" w:customStyle="1" w:styleId="FooterChar">
    <w:name w:val="Footer Char"/>
    <w:basedOn w:val="DefaultParagraphFont"/>
    <w:link w:val="Footer"/>
    <w:uiPriority w:val="99"/>
    <w:rsid w:val="003A6F15"/>
  </w:style>
  <w:style w:type="character" w:styleId="PageNumber">
    <w:name w:val="page number"/>
    <w:basedOn w:val="DefaultParagraphFont"/>
    <w:uiPriority w:val="99"/>
    <w:semiHidden/>
    <w:unhideWhenUsed/>
    <w:rsid w:val="003A6F15"/>
  </w:style>
  <w:style w:type="character" w:styleId="CommentReference">
    <w:name w:val="annotation reference"/>
    <w:basedOn w:val="DefaultParagraphFont"/>
    <w:uiPriority w:val="99"/>
    <w:semiHidden/>
    <w:unhideWhenUsed/>
    <w:rsid w:val="005C24E7"/>
    <w:rPr>
      <w:sz w:val="18"/>
      <w:szCs w:val="18"/>
    </w:rPr>
  </w:style>
  <w:style w:type="paragraph" w:styleId="CommentText">
    <w:name w:val="annotation text"/>
    <w:basedOn w:val="Normal"/>
    <w:link w:val="CommentTextChar"/>
    <w:uiPriority w:val="99"/>
    <w:unhideWhenUsed/>
    <w:rsid w:val="005C24E7"/>
  </w:style>
  <w:style w:type="character" w:customStyle="1" w:styleId="CommentTextChar">
    <w:name w:val="Comment Text Char"/>
    <w:basedOn w:val="DefaultParagraphFont"/>
    <w:link w:val="CommentText"/>
    <w:uiPriority w:val="99"/>
    <w:rsid w:val="005C24E7"/>
  </w:style>
  <w:style w:type="paragraph" w:styleId="CommentSubject">
    <w:name w:val="annotation subject"/>
    <w:basedOn w:val="CommentText"/>
    <w:next w:val="CommentText"/>
    <w:link w:val="CommentSubjectChar"/>
    <w:uiPriority w:val="99"/>
    <w:semiHidden/>
    <w:unhideWhenUsed/>
    <w:rsid w:val="005C24E7"/>
    <w:rPr>
      <w:b/>
      <w:bCs/>
      <w:sz w:val="20"/>
      <w:szCs w:val="20"/>
    </w:rPr>
  </w:style>
  <w:style w:type="character" w:customStyle="1" w:styleId="CommentSubjectChar">
    <w:name w:val="Comment Subject Char"/>
    <w:basedOn w:val="CommentTextChar"/>
    <w:link w:val="CommentSubject"/>
    <w:uiPriority w:val="99"/>
    <w:semiHidden/>
    <w:rsid w:val="005C24E7"/>
    <w:rPr>
      <w:b/>
      <w:bCs/>
      <w:sz w:val="20"/>
      <w:szCs w:val="20"/>
    </w:rPr>
  </w:style>
  <w:style w:type="character" w:customStyle="1" w:styleId="markikaljla81">
    <w:name w:val="markikaljla81"/>
    <w:basedOn w:val="DefaultParagraphFont"/>
    <w:rsid w:val="00F231F7"/>
  </w:style>
  <w:style w:type="table" w:customStyle="1" w:styleId="ListTable3-Accent61">
    <w:name w:val="List Table 3 - Accent 61"/>
    <w:basedOn w:val="TableNormal"/>
    <w:uiPriority w:val="48"/>
    <w:rsid w:val="00B513BC"/>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GridTable4-Accent61">
    <w:name w:val="Grid Table 4 - Accent 61"/>
    <w:basedOn w:val="TableNormal"/>
    <w:uiPriority w:val="49"/>
    <w:rsid w:val="006C6D7A"/>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Default">
    <w:name w:val="Default"/>
    <w:rsid w:val="00934AF2"/>
    <w:pPr>
      <w:autoSpaceDE w:val="0"/>
      <w:autoSpaceDN w:val="0"/>
      <w:adjustRightInd w:val="0"/>
    </w:pPr>
    <w:rPr>
      <w:rFonts w:ascii="IberPangea Text Light" w:hAnsi="IberPangea Text Light" w:cs="IberPangea Text Light"/>
      <w:color w:val="000000"/>
      <w:lang w:val="en-US"/>
    </w:rPr>
  </w:style>
  <w:style w:type="paragraph" w:styleId="Revision">
    <w:name w:val="Revision"/>
    <w:hidden/>
    <w:uiPriority w:val="99"/>
    <w:semiHidden/>
    <w:rsid w:val="00856DE4"/>
  </w:style>
  <w:style w:type="table" w:customStyle="1" w:styleId="TableGrid1">
    <w:name w:val="Table Grid1"/>
    <w:basedOn w:val="TableNormal"/>
    <w:next w:val="TableGrid"/>
    <w:uiPriority w:val="39"/>
    <w:rsid w:val="006A2E60"/>
    <w:rPr>
      <w:kern w:val="2"/>
      <w:sz w:val="22"/>
      <w:szCs w:val="2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22456"/>
    <w:rPr>
      <w:rFonts w:ascii="Calibri" w:hAnsi="Calibri"/>
      <w:b/>
      <w:color w:val="385623" w:themeColor="accent6" w:themeShade="80"/>
      <w:sz w:val="28"/>
      <w:szCs w:val="28"/>
    </w:rPr>
  </w:style>
  <w:style w:type="paragraph" w:styleId="TOCHeading">
    <w:name w:val="TOC Heading"/>
    <w:basedOn w:val="Heading1"/>
    <w:next w:val="Normal"/>
    <w:uiPriority w:val="39"/>
    <w:unhideWhenUsed/>
    <w:qFormat/>
    <w:rsid w:val="00A35506"/>
    <w:pPr>
      <w:spacing w:line="259" w:lineRule="auto"/>
      <w:outlineLvl w:val="9"/>
    </w:pPr>
    <w:rPr>
      <w:lang w:val="en-US"/>
    </w:rPr>
  </w:style>
  <w:style w:type="paragraph" w:styleId="TOC2">
    <w:name w:val="toc 2"/>
    <w:basedOn w:val="Normal"/>
    <w:next w:val="Normal"/>
    <w:autoRedefine/>
    <w:uiPriority w:val="39"/>
    <w:unhideWhenUsed/>
    <w:rsid w:val="00A35506"/>
    <w:pPr>
      <w:spacing w:after="100" w:line="259" w:lineRule="auto"/>
      <w:ind w:left="220"/>
    </w:pPr>
    <w:rPr>
      <w:rFonts w:eastAsiaTheme="minorEastAsia" w:cs="Times New Roman"/>
      <w:sz w:val="22"/>
      <w:szCs w:val="22"/>
      <w:lang w:val="en-US"/>
    </w:rPr>
  </w:style>
  <w:style w:type="paragraph" w:styleId="TOC1">
    <w:name w:val="toc 1"/>
    <w:basedOn w:val="Normal"/>
    <w:next w:val="Normal"/>
    <w:autoRedefine/>
    <w:uiPriority w:val="39"/>
    <w:unhideWhenUsed/>
    <w:rsid w:val="00542800"/>
    <w:pPr>
      <w:tabs>
        <w:tab w:val="left" w:pos="440"/>
        <w:tab w:val="right" w:leader="dot" w:pos="9010"/>
      </w:tabs>
      <w:spacing w:after="100" w:line="259" w:lineRule="auto"/>
    </w:pPr>
    <w:rPr>
      <w:rFonts w:eastAsiaTheme="minorEastAsia" w:cs="Times New Roman"/>
      <w:noProof/>
      <w:color w:val="000000" w:themeColor="text1" w:themeShade="80"/>
      <w:sz w:val="22"/>
      <w:szCs w:val="22"/>
      <w:lang w:val="en-US"/>
    </w:rPr>
  </w:style>
  <w:style w:type="paragraph" w:styleId="TOC3">
    <w:name w:val="toc 3"/>
    <w:basedOn w:val="Normal"/>
    <w:next w:val="Normal"/>
    <w:autoRedefine/>
    <w:uiPriority w:val="39"/>
    <w:unhideWhenUsed/>
    <w:rsid w:val="00A35506"/>
    <w:pPr>
      <w:spacing w:after="100" w:line="259" w:lineRule="auto"/>
      <w:ind w:left="440"/>
    </w:pPr>
    <w:rPr>
      <w:rFonts w:eastAsiaTheme="minorEastAsia" w:cs="Times New Roman"/>
      <w:sz w:val="22"/>
      <w:szCs w:val="22"/>
      <w:lang w:val="en-US"/>
    </w:rPr>
  </w:style>
  <w:style w:type="character" w:customStyle="1" w:styleId="Heading2Char">
    <w:name w:val="Heading 2 Char"/>
    <w:basedOn w:val="DefaultParagraphFont"/>
    <w:link w:val="Heading2"/>
    <w:uiPriority w:val="9"/>
    <w:rsid w:val="00F22456"/>
    <w:rPr>
      <w:rFonts w:ascii="Calibri" w:hAnsi="Calibri"/>
      <w:b/>
      <w:color w:val="385623" w:themeColor="accent6" w:themeShade="80"/>
      <w:sz w:val="28"/>
      <w:szCs w:val="28"/>
    </w:rPr>
  </w:style>
  <w:style w:type="character" w:customStyle="1" w:styleId="Heading3Char">
    <w:name w:val="Heading 3 Char"/>
    <w:basedOn w:val="DefaultParagraphFont"/>
    <w:link w:val="Heading3"/>
    <w:uiPriority w:val="9"/>
    <w:rsid w:val="00060125"/>
    <w:rPr>
      <w:rFonts w:eastAsiaTheme="majorEastAsia" w:cstheme="minorHAnsi"/>
      <w:b/>
      <w:bCs/>
      <w:color w:val="000000" w:themeColor="text1"/>
    </w:rPr>
  </w:style>
  <w:style w:type="character" w:customStyle="1" w:styleId="Heading4Char">
    <w:name w:val="Heading 4 Char"/>
    <w:basedOn w:val="DefaultParagraphFont"/>
    <w:link w:val="Heading4"/>
    <w:uiPriority w:val="9"/>
    <w:semiHidden/>
    <w:rsid w:val="003F22E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F22E0"/>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F22E0"/>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F22E0"/>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F22E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F22E0"/>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AD69A5"/>
    <w:rPr>
      <w:color w:val="0563C1" w:themeColor="hyperlink"/>
      <w:u w:val="single"/>
    </w:rPr>
  </w:style>
  <w:style w:type="paragraph" w:styleId="Subtitle">
    <w:name w:val="Subtitle"/>
    <w:basedOn w:val="Normal"/>
    <w:next w:val="Normal"/>
    <w:link w:val="SubtitleChar"/>
    <w:uiPriority w:val="11"/>
    <w:qFormat/>
    <w:rsid w:val="0017261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172616"/>
    <w:rPr>
      <w:rFonts w:eastAsiaTheme="minorEastAsia"/>
      <w:color w:val="5A5A5A" w:themeColor="text1" w:themeTint="A5"/>
      <w:spacing w:val="15"/>
      <w:sz w:val="22"/>
      <w:szCs w:val="22"/>
    </w:rPr>
  </w:style>
  <w:style w:type="character" w:customStyle="1" w:styleId="UnresolvedMention1">
    <w:name w:val="Unresolved Mention1"/>
    <w:basedOn w:val="DefaultParagraphFont"/>
    <w:uiPriority w:val="99"/>
    <w:semiHidden/>
    <w:unhideWhenUsed/>
    <w:rsid w:val="00AC779F"/>
    <w:rPr>
      <w:color w:val="605E5C"/>
      <w:shd w:val="clear" w:color="auto" w:fill="E1DFDD"/>
    </w:rPr>
  </w:style>
  <w:style w:type="paragraph" w:styleId="FootnoteText">
    <w:name w:val="footnote text"/>
    <w:basedOn w:val="Normal"/>
    <w:link w:val="FootnoteTextChar"/>
    <w:uiPriority w:val="99"/>
    <w:semiHidden/>
    <w:unhideWhenUsed/>
    <w:rsid w:val="00E60837"/>
    <w:rPr>
      <w:sz w:val="20"/>
      <w:szCs w:val="20"/>
    </w:rPr>
  </w:style>
  <w:style w:type="character" w:customStyle="1" w:styleId="FootnoteTextChar">
    <w:name w:val="Footnote Text Char"/>
    <w:basedOn w:val="DefaultParagraphFont"/>
    <w:link w:val="FootnoteText"/>
    <w:uiPriority w:val="99"/>
    <w:semiHidden/>
    <w:rsid w:val="00E60837"/>
    <w:rPr>
      <w:sz w:val="20"/>
      <w:szCs w:val="20"/>
    </w:rPr>
  </w:style>
  <w:style w:type="character" w:styleId="FootnoteReference">
    <w:name w:val="footnote reference"/>
    <w:basedOn w:val="DefaultParagraphFont"/>
    <w:uiPriority w:val="99"/>
    <w:semiHidden/>
    <w:unhideWhenUsed/>
    <w:rsid w:val="00E60837"/>
    <w:rPr>
      <w:vertAlign w:val="superscript"/>
    </w:rPr>
  </w:style>
  <w:style w:type="paragraph" w:customStyle="1" w:styleId="elementtoproof">
    <w:name w:val="elementtoproof"/>
    <w:basedOn w:val="Normal"/>
    <w:rsid w:val="00D941D0"/>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0922">
      <w:bodyDiv w:val="1"/>
      <w:marLeft w:val="0"/>
      <w:marRight w:val="0"/>
      <w:marTop w:val="0"/>
      <w:marBottom w:val="0"/>
      <w:divBdr>
        <w:top w:val="none" w:sz="0" w:space="0" w:color="auto"/>
        <w:left w:val="none" w:sz="0" w:space="0" w:color="auto"/>
        <w:bottom w:val="none" w:sz="0" w:space="0" w:color="auto"/>
        <w:right w:val="none" w:sz="0" w:space="0" w:color="auto"/>
      </w:divBdr>
    </w:div>
    <w:div w:id="94056304">
      <w:bodyDiv w:val="1"/>
      <w:marLeft w:val="0"/>
      <w:marRight w:val="0"/>
      <w:marTop w:val="0"/>
      <w:marBottom w:val="0"/>
      <w:divBdr>
        <w:top w:val="none" w:sz="0" w:space="0" w:color="auto"/>
        <w:left w:val="none" w:sz="0" w:space="0" w:color="auto"/>
        <w:bottom w:val="none" w:sz="0" w:space="0" w:color="auto"/>
        <w:right w:val="none" w:sz="0" w:space="0" w:color="auto"/>
      </w:divBdr>
      <w:divsChild>
        <w:div w:id="178587977">
          <w:marLeft w:val="0"/>
          <w:marRight w:val="0"/>
          <w:marTop w:val="0"/>
          <w:marBottom w:val="0"/>
          <w:divBdr>
            <w:top w:val="none" w:sz="0" w:space="0" w:color="auto"/>
            <w:left w:val="none" w:sz="0" w:space="0" w:color="auto"/>
            <w:bottom w:val="none" w:sz="0" w:space="0" w:color="auto"/>
            <w:right w:val="none" w:sz="0" w:space="0" w:color="auto"/>
          </w:divBdr>
          <w:divsChild>
            <w:div w:id="331613224">
              <w:marLeft w:val="0"/>
              <w:marRight w:val="0"/>
              <w:marTop w:val="0"/>
              <w:marBottom w:val="0"/>
              <w:divBdr>
                <w:top w:val="none" w:sz="0" w:space="0" w:color="auto"/>
                <w:left w:val="none" w:sz="0" w:space="0" w:color="auto"/>
                <w:bottom w:val="none" w:sz="0" w:space="0" w:color="auto"/>
                <w:right w:val="none" w:sz="0" w:space="0" w:color="auto"/>
              </w:divBdr>
            </w:div>
          </w:divsChild>
        </w:div>
        <w:div w:id="1979608001">
          <w:marLeft w:val="0"/>
          <w:marRight w:val="0"/>
          <w:marTop w:val="0"/>
          <w:marBottom w:val="0"/>
          <w:divBdr>
            <w:top w:val="none" w:sz="0" w:space="0" w:color="auto"/>
            <w:left w:val="none" w:sz="0" w:space="0" w:color="auto"/>
            <w:bottom w:val="none" w:sz="0" w:space="0" w:color="auto"/>
            <w:right w:val="none" w:sz="0" w:space="0" w:color="auto"/>
          </w:divBdr>
          <w:divsChild>
            <w:div w:id="310912499">
              <w:marLeft w:val="0"/>
              <w:marRight w:val="0"/>
              <w:marTop w:val="0"/>
              <w:marBottom w:val="0"/>
              <w:divBdr>
                <w:top w:val="none" w:sz="0" w:space="0" w:color="auto"/>
                <w:left w:val="none" w:sz="0" w:space="0" w:color="auto"/>
                <w:bottom w:val="none" w:sz="0" w:space="0" w:color="auto"/>
                <w:right w:val="none" w:sz="0" w:space="0" w:color="auto"/>
              </w:divBdr>
              <w:divsChild>
                <w:div w:id="685986332">
                  <w:marLeft w:val="0"/>
                  <w:marRight w:val="0"/>
                  <w:marTop w:val="0"/>
                  <w:marBottom w:val="0"/>
                  <w:divBdr>
                    <w:top w:val="none" w:sz="0" w:space="0" w:color="auto"/>
                    <w:left w:val="none" w:sz="0" w:space="0" w:color="auto"/>
                    <w:bottom w:val="none" w:sz="0" w:space="0" w:color="auto"/>
                    <w:right w:val="none" w:sz="0" w:space="0" w:color="auto"/>
                  </w:divBdr>
                  <w:divsChild>
                    <w:div w:id="216671132">
                      <w:marLeft w:val="0"/>
                      <w:marRight w:val="0"/>
                      <w:marTop w:val="0"/>
                      <w:marBottom w:val="0"/>
                      <w:divBdr>
                        <w:top w:val="none" w:sz="0" w:space="0" w:color="auto"/>
                        <w:left w:val="none" w:sz="0" w:space="0" w:color="auto"/>
                        <w:bottom w:val="none" w:sz="0" w:space="0" w:color="auto"/>
                        <w:right w:val="none" w:sz="0" w:space="0" w:color="auto"/>
                      </w:divBdr>
                      <w:divsChild>
                        <w:div w:id="126376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25291">
      <w:bodyDiv w:val="1"/>
      <w:marLeft w:val="0"/>
      <w:marRight w:val="0"/>
      <w:marTop w:val="0"/>
      <w:marBottom w:val="0"/>
      <w:divBdr>
        <w:top w:val="none" w:sz="0" w:space="0" w:color="auto"/>
        <w:left w:val="none" w:sz="0" w:space="0" w:color="auto"/>
        <w:bottom w:val="none" w:sz="0" w:space="0" w:color="auto"/>
        <w:right w:val="none" w:sz="0" w:space="0" w:color="auto"/>
      </w:divBdr>
    </w:div>
    <w:div w:id="227038473">
      <w:bodyDiv w:val="1"/>
      <w:marLeft w:val="0"/>
      <w:marRight w:val="0"/>
      <w:marTop w:val="0"/>
      <w:marBottom w:val="0"/>
      <w:divBdr>
        <w:top w:val="none" w:sz="0" w:space="0" w:color="auto"/>
        <w:left w:val="none" w:sz="0" w:space="0" w:color="auto"/>
        <w:bottom w:val="none" w:sz="0" w:space="0" w:color="auto"/>
        <w:right w:val="none" w:sz="0" w:space="0" w:color="auto"/>
      </w:divBdr>
    </w:div>
    <w:div w:id="233702152">
      <w:bodyDiv w:val="1"/>
      <w:marLeft w:val="0"/>
      <w:marRight w:val="0"/>
      <w:marTop w:val="0"/>
      <w:marBottom w:val="0"/>
      <w:divBdr>
        <w:top w:val="none" w:sz="0" w:space="0" w:color="auto"/>
        <w:left w:val="none" w:sz="0" w:space="0" w:color="auto"/>
        <w:bottom w:val="none" w:sz="0" w:space="0" w:color="auto"/>
        <w:right w:val="none" w:sz="0" w:space="0" w:color="auto"/>
      </w:divBdr>
    </w:div>
    <w:div w:id="400056776">
      <w:bodyDiv w:val="1"/>
      <w:marLeft w:val="0"/>
      <w:marRight w:val="0"/>
      <w:marTop w:val="0"/>
      <w:marBottom w:val="0"/>
      <w:divBdr>
        <w:top w:val="none" w:sz="0" w:space="0" w:color="auto"/>
        <w:left w:val="none" w:sz="0" w:space="0" w:color="auto"/>
        <w:bottom w:val="none" w:sz="0" w:space="0" w:color="auto"/>
        <w:right w:val="none" w:sz="0" w:space="0" w:color="auto"/>
      </w:divBdr>
    </w:div>
    <w:div w:id="491064956">
      <w:bodyDiv w:val="1"/>
      <w:marLeft w:val="0"/>
      <w:marRight w:val="0"/>
      <w:marTop w:val="0"/>
      <w:marBottom w:val="0"/>
      <w:divBdr>
        <w:top w:val="none" w:sz="0" w:space="0" w:color="auto"/>
        <w:left w:val="none" w:sz="0" w:space="0" w:color="auto"/>
        <w:bottom w:val="none" w:sz="0" w:space="0" w:color="auto"/>
        <w:right w:val="none" w:sz="0" w:space="0" w:color="auto"/>
      </w:divBdr>
    </w:div>
    <w:div w:id="635794085">
      <w:bodyDiv w:val="1"/>
      <w:marLeft w:val="0"/>
      <w:marRight w:val="0"/>
      <w:marTop w:val="0"/>
      <w:marBottom w:val="0"/>
      <w:divBdr>
        <w:top w:val="none" w:sz="0" w:space="0" w:color="auto"/>
        <w:left w:val="none" w:sz="0" w:space="0" w:color="auto"/>
        <w:bottom w:val="none" w:sz="0" w:space="0" w:color="auto"/>
        <w:right w:val="none" w:sz="0" w:space="0" w:color="auto"/>
      </w:divBdr>
    </w:div>
    <w:div w:id="708795244">
      <w:bodyDiv w:val="1"/>
      <w:marLeft w:val="0"/>
      <w:marRight w:val="0"/>
      <w:marTop w:val="0"/>
      <w:marBottom w:val="0"/>
      <w:divBdr>
        <w:top w:val="none" w:sz="0" w:space="0" w:color="auto"/>
        <w:left w:val="none" w:sz="0" w:space="0" w:color="auto"/>
        <w:bottom w:val="none" w:sz="0" w:space="0" w:color="auto"/>
        <w:right w:val="none" w:sz="0" w:space="0" w:color="auto"/>
      </w:divBdr>
    </w:div>
    <w:div w:id="785664444">
      <w:bodyDiv w:val="1"/>
      <w:marLeft w:val="0"/>
      <w:marRight w:val="0"/>
      <w:marTop w:val="0"/>
      <w:marBottom w:val="0"/>
      <w:divBdr>
        <w:top w:val="none" w:sz="0" w:space="0" w:color="auto"/>
        <w:left w:val="none" w:sz="0" w:space="0" w:color="auto"/>
        <w:bottom w:val="none" w:sz="0" w:space="0" w:color="auto"/>
        <w:right w:val="none" w:sz="0" w:space="0" w:color="auto"/>
      </w:divBdr>
    </w:div>
    <w:div w:id="856116574">
      <w:bodyDiv w:val="1"/>
      <w:marLeft w:val="0"/>
      <w:marRight w:val="0"/>
      <w:marTop w:val="0"/>
      <w:marBottom w:val="0"/>
      <w:divBdr>
        <w:top w:val="none" w:sz="0" w:space="0" w:color="auto"/>
        <w:left w:val="none" w:sz="0" w:space="0" w:color="auto"/>
        <w:bottom w:val="none" w:sz="0" w:space="0" w:color="auto"/>
        <w:right w:val="none" w:sz="0" w:space="0" w:color="auto"/>
      </w:divBdr>
    </w:div>
    <w:div w:id="1226648779">
      <w:bodyDiv w:val="1"/>
      <w:marLeft w:val="0"/>
      <w:marRight w:val="0"/>
      <w:marTop w:val="0"/>
      <w:marBottom w:val="0"/>
      <w:divBdr>
        <w:top w:val="none" w:sz="0" w:space="0" w:color="auto"/>
        <w:left w:val="none" w:sz="0" w:space="0" w:color="auto"/>
        <w:bottom w:val="none" w:sz="0" w:space="0" w:color="auto"/>
        <w:right w:val="none" w:sz="0" w:space="0" w:color="auto"/>
      </w:divBdr>
    </w:div>
    <w:div w:id="1418012760">
      <w:bodyDiv w:val="1"/>
      <w:marLeft w:val="0"/>
      <w:marRight w:val="0"/>
      <w:marTop w:val="0"/>
      <w:marBottom w:val="0"/>
      <w:divBdr>
        <w:top w:val="none" w:sz="0" w:space="0" w:color="auto"/>
        <w:left w:val="none" w:sz="0" w:space="0" w:color="auto"/>
        <w:bottom w:val="none" w:sz="0" w:space="0" w:color="auto"/>
        <w:right w:val="none" w:sz="0" w:space="0" w:color="auto"/>
      </w:divBdr>
    </w:div>
    <w:div w:id="1482501784">
      <w:bodyDiv w:val="1"/>
      <w:marLeft w:val="0"/>
      <w:marRight w:val="0"/>
      <w:marTop w:val="0"/>
      <w:marBottom w:val="0"/>
      <w:divBdr>
        <w:top w:val="none" w:sz="0" w:space="0" w:color="auto"/>
        <w:left w:val="none" w:sz="0" w:space="0" w:color="auto"/>
        <w:bottom w:val="none" w:sz="0" w:space="0" w:color="auto"/>
        <w:right w:val="none" w:sz="0" w:space="0" w:color="auto"/>
      </w:divBdr>
    </w:div>
    <w:div w:id="1547177082">
      <w:bodyDiv w:val="1"/>
      <w:marLeft w:val="0"/>
      <w:marRight w:val="0"/>
      <w:marTop w:val="0"/>
      <w:marBottom w:val="0"/>
      <w:divBdr>
        <w:top w:val="none" w:sz="0" w:space="0" w:color="auto"/>
        <w:left w:val="none" w:sz="0" w:space="0" w:color="auto"/>
        <w:bottom w:val="none" w:sz="0" w:space="0" w:color="auto"/>
        <w:right w:val="none" w:sz="0" w:space="0" w:color="auto"/>
      </w:divBdr>
    </w:div>
    <w:div w:id="1634171367">
      <w:bodyDiv w:val="1"/>
      <w:marLeft w:val="0"/>
      <w:marRight w:val="0"/>
      <w:marTop w:val="0"/>
      <w:marBottom w:val="0"/>
      <w:divBdr>
        <w:top w:val="none" w:sz="0" w:space="0" w:color="auto"/>
        <w:left w:val="none" w:sz="0" w:space="0" w:color="auto"/>
        <w:bottom w:val="none" w:sz="0" w:space="0" w:color="auto"/>
        <w:right w:val="none" w:sz="0" w:space="0" w:color="auto"/>
      </w:divBdr>
    </w:div>
    <w:div w:id="1687749984">
      <w:bodyDiv w:val="1"/>
      <w:marLeft w:val="0"/>
      <w:marRight w:val="0"/>
      <w:marTop w:val="0"/>
      <w:marBottom w:val="0"/>
      <w:divBdr>
        <w:top w:val="none" w:sz="0" w:space="0" w:color="auto"/>
        <w:left w:val="none" w:sz="0" w:space="0" w:color="auto"/>
        <w:bottom w:val="none" w:sz="0" w:space="0" w:color="auto"/>
        <w:right w:val="none" w:sz="0" w:space="0" w:color="auto"/>
      </w:divBdr>
    </w:div>
    <w:div w:id="1814367037">
      <w:bodyDiv w:val="1"/>
      <w:marLeft w:val="0"/>
      <w:marRight w:val="0"/>
      <w:marTop w:val="0"/>
      <w:marBottom w:val="0"/>
      <w:divBdr>
        <w:top w:val="none" w:sz="0" w:space="0" w:color="auto"/>
        <w:left w:val="none" w:sz="0" w:space="0" w:color="auto"/>
        <w:bottom w:val="none" w:sz="0" w:space="0" w:color="auto"/>
        <w:right w:val="none" w:sz="0" w:space="0" w:color="auto"/>
      </w:divBdr>
    </w:div>
    <w:div w:id="1818758984">
      <w:bodyDiv w:val="1"/>
      <w:marLeft w:val="0"/>
      <w:marRight w:val="0"/>
      <w:marTop w:val="0"/>
      <w:marBottom w:val="0"/>
      <w:divBdr>
        <w:top w:val="none" w:sz="0" w:space="0" w:color="auto"/>
        <w:left w:val="none" w:sz="0" w:space="0" w:color="auto"/>
        <w:bottom w:val="none" w:sz="0" w:space="0" w:color="auto"/>
        <w:right w:val="none" w:sz="0" w:space="0" w:color="auto"/>
      </w:divBdr>
    </w:div>
    <w:div w:id="2012708381">
      <w:bodyDiv w:val="1"/>
      <w:marLeft w:val="0"/>
      <w:marRight w:val="0"/>
      <w:marTop w:val="0"/>
      <w:marBottom w:val="0"/>
      <w:divBdr>
        <w:top w:val="none" w:sz="0" w:space="0" w:color="auto"/>
        <w:left w:val="none" w:sz="0" w:space="0" w:color="auto"/>
        <w:bottom w:val="none" w:sz="0" w:space="0" w:color="auto"/>
        <w:right w:val="none" w:sz="0" w:space="0" w:color="auto"/>
      </w:divBdr>
    </w:div>
    <w:div w:id="209088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commentsExtended" Target="commentsExtended.xml"/><Relationship Id="rId18" Type="http://schemas.microsoft.com/office/2016/09/relationships/commentsIds" Target="commentsIds.xml"/><Relationship Id="rId19"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78a1c12-3ab7-471e-b134-e7ba3975f64f">
      <Terms xmlns="http://schemas.microsoft.com/office/infopath/2007/PartnerControls"/>
    </lcf76f155ced4ddcb4097134ff3c332f>
    <TaxCatchAll xmlns="f35b5cbd-7b0b-4440-92cd-b510cab4ec67" xsi:nil="true"/>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E31A2-B151-4AA4-90BF-1FA3FEB18809}"/>
</file>

<file path=customXml/itemProps2.xml><?xml version="1.0" encoding="utf-8"?>
<ds:datastoreItem xmlns:ds="http://schemas.openxmlformats.org/officeDocument/2006/customXml" ds:itemID="{4CD0AD3F-F8C9-409F-B101-4DB793F37DD0}">
  <ds:schemaRefs>
    <ds:schemaRef ds:uri="http://schemas.microsoft.com/office/2006/metadata/properties"/>
    <ds:schemaRef ds:uri="http://schemas.microsoft.com/office/infopath/2007/PartnerControls"/>
    <ds:schemaRef ds:uri="586401d9-7186-4327-b8cc-f89b195a2e01"/>
    <ds:schemaRef ds:uri="cb713b1b-b62d-4aca-8613-2c3f197db001"/>
  </ds:schemaRefs>
</ds:datastoreItem>
</file>

<file path=customXml/itemProps3.xml><?xml version="1.0" encoding="utf-8"?>
<ds:datastoreItem xmlns:ds="http://schemas.openxmlformats.org/officeDocument/2006/customXml" ds:itemID="{5C523878-BB84-4DA8-BA36-E0C91F1ACA59}">
  <ds:schemaRefs>
    <ds:schemaRef ds:uri="http://schemas.microsoft.com/sharepoint/v3/contenttype/forms"/>
  </ds:schemaRefs>
</ds:datastoreItem>
</file>

<file path=customXml/itemProps4.xml><?xml version="1.0" encoding="utf-8"?>
<ds:datastoreItem xmlns:ds="http://schemas.openxmlformats.org/officeDocument/2006/customXml" ds:itemID="{9B4383E2-AF34-704A-B557-E99340148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3444</Words>
  <Characters>19635</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23033</CharactersWithSpaces>
  <SharedDoc>false</SharedDoc>
  <HLinks>
    <vt:vector size="36" baseType="variant">
      <vt:variant>
        <vt:i4>1441854</vt:i4>
      </vt:variant>
      <vt:variant>
        <vt:i4>32</vt:i4>
      </vt:variant>
      <vt:variant>
        <vt:i4>0</vt:i4>
      </vt:variant>
      <vt:variant>
        <vt:i4>5</vt:i4>
      </vt:variant>
      <vt:variant>
        <vt:lpwstr/>
      </vt:variant>
      <vt:variant>
        <vt:lpwstr>_Toc206691367</vt:lpwstr>
      </vt:variant>
      <vt:variant>
        <vt:i4>1441854</vt:i4>
      </vt:variant>
      <vt:variant>
        <vt:i4>26</vt:i4>
      </vt:variant>
      <vt:variant>
        <vt:i4>0</vt:i4>
      </vt:variant>
      <vt:variant>
        <vt:i4>5</vt:i4>
      </vt:variant>
      <vt:variant>
        <vt:lpwstr/>
      </vt:variant>
      <vt:variant>
        <vt:lpwstr>_Toc206691366</vt:lpwstr>
      </vt:variant>
      <vt:variant>
        <vt:i4>1441854</vt:i4>
      </vt:variant>
      <vt:variant>
        <vt:i4>20</vt:i4>
      </vt:variant>
      <vt:variant>
        <vt:i4>0</vt:i4>
      </vt:variant>
      <vt:variant>
        <vt:i4>5</vt:i4>
      </vt:variant>
      <vt:variant>
        <vt:lpwstr/>
      </vt:variant>
      <vt:variant>
        <vt:lpwstr>_Toc206691365</vt:lpwstr>
      </vt:variant>
      <vt:variant>
        <vt:i4>1441854</vt:i4>
      </vt:variant>
      <vt:variant>
        <vt:i4>14</vt:i4>
      </vt:variant>
      <vt:variant>
        <vt:i4>0</vt:i4>
      </vt:variant>
      <vt:variant>
        <vt:i4>5</vt:i4>
      </vt:variant>
      <vt:variant>
        <vt:lpwstr/>
      </vt:variant>
      <vt:variant>
        <vt:lpwstr>_Toc206691364</vt:lpwstr>
      </vt:variant>
      <vt:variant>
        <vt:i4>1441854</vt:i4>
      </vt:variant>
      <vt:variant>
        <vt:i4>8</vt:i4>
      </vt:variant>
      <vt:variant>
        <vt:i4>0</vt:i4>
      </vt:variant>
      <vt:variant>
        <vt:i4>5</vt:i4>
      </vt:variant>
      <vt:variant>
        <vt:lpwstr/>
      </vt:variant>
      <vt:variant>
        <vt:lpwstr>_Toc206691363</vt:lpwstr>
      </vt:variant>
      <vt:variant>
        <vt:i4>1441854</vt:i4>
      </vt:variant>
      <vt:variant>
        <vt:i4>2</vt:i4>
      </vt:variant>
      <vt:variant>
        <vt:i4>0</vt:i4>
      </vt:variant>
      <vt:variant>
        <vt:i4>5</vt:i4>
      </vt:variant>
      <vt:variant>
        <vt:lpwstr/>
      </vt:variant>
      <vt:variant>
        <vt:lpwstr>_Toc206691362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Wood</dc:creator>
  <cp:keywords/>
  <dc:description/>
  <cp:lastModifiedBy>Angela Love</cp:lastModifiedBy>
  <cp:revision>3</cp:revision>
  <dcterms:created xsi:type="dcterms:W3CDTF">2025-08-25T17:13:00Z</dcterms:created>
  <dcterms:modified xsi:type="dcterms:W3CDTF">2025-08-25T17:15:00Z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4" name="GrammarlyDocumentId">
    <vt:lpwstr>81318b8d-a88f-4b48-bd30-48c1c67a9772</vt:lpwstr>
  </property>
</Properties>
</file>